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A0A" w:rsidRDefault="00E30154" w:rsidP="00F95566">
      <w:pPr>
        <w:spacing w:before="120" w:after="120" w:line="240" w:lineRule="auto"/>
        <w:jc w:val="both"/>
        <w:rPr>
          <w:rFonts w:ascii="Arial" w:hAnsi="Arial" w:cs="Arial"/>
          <w:b/>
          <w:sz w:val="32"/>
          <w:szCs w:val="32"/>
        </w:rPr>
      </w:pPr>
      <w:r w:rsidRPr="005579A5">
        <w:rPr>
          <w:rFonts w:ascii="Arial" w:hAnsi="Arial" w:cs="Arial"/>
          <w:b/>
          <w:sz w:val="32"/>
          <w:szCs w:val="32"/>
        </w:rPr>
        <w:t xml:space="preserve">Matters </w:t>
      </w:r>
      <w:r>
        <w:rPr>
          <w:rFonts w:ascii="Arial" w:hAnsi="Arial" w:cs="Arial"/>
          <w:b/>
          <w:sz w:val="32"/>
          <w:szCs w:val="32"/>
        </w:rPr>
        <w:t xml:space="preserve">arising </w:t>
      </w:r>
      <w:r w:rsidRPr="005579A5">
        <w:rPr>
          <w:rFonts w:ascii="Arial" w:hAnsi="Arial" w:cs="Arial"/>
          <w:b/>
          <w:sz w:val="32"/>
          <w:szCs w:val="32"/>
        </w:rPr>
        <w:t xml:space="preserve">from </w:t>
      </w:r>
      <w:r>
        <w:rPr>
          <w:rFonts w:ascii="Arial" w:hAnsi="Arial" w:cs="Arial"/>
          <w:b/>
          <w:sz w:val="32"/>
          <w:szCs w:val="32"/>
        </w:rPr>
        <w:t>i</w:t>
      </w:r>
      <w:r w:rsidRPr="005579A5">
        <w:rPr>
          <w:rFonts w:ascii="Arial" w:hAnsi="Arial" w:cs="Arial"/>
          <w:b/>
          <w:sz w:val="32"/>
          <w:szCs w:val="32"/>
        </w:rPr>
        <w:t xml:space="preserve">nternal </w:t>
      </w:r>
      <w:r>
        <w:rPr>
          <w:rFonts w:ascii="Arial" w:hAnsi="Arial" w:cs="Arial"/>
          <w:b/>
          <w:sz w:val="32"/>
          <w:szCs w:val="32"/>
        </w:rPr>
        <w:t>a</w:t>
      </w:r>
      <w:r w:rsidRPr="005579A5">
        <w:rPr>
          <w:rFonts w:ascii="Arial" w:hAnsi="Arial" w:cs="Arial"/>
          <w:b/>
          <w:sz w:val="32"/>
          <w:szCs w:val="32"/>
        </w:rPr>
        <w:t>udit work completed during the period</w:t>
      </w:r>
      <w:r>
        <w:rPr>
          <w:rFonts w:ascii="Arial" w:hAnsi="Arial" w:cs="Arial"/>
          <w:b/>
          <w:sz w:val="32"/>
          <w:szCs w:val="32"/>
        </w:rPr>
        <w:t xml:space="preserve"> to 31 March 2018</w:t>
      </w:r>
    </w:p>
    <w:p w:rsidR="004E5A0A" w:rsidRPr="007F65E0" w:rsidRDefault="00E30154" w:rsidP="00F95566">
      <w:pPr>
        <w:numPr>
          <w:ilvl w:val="0"/>
          <w:numId w:val="3"/>
        </w:numPr>
        <w:tabs>
          <w:tab w:val="num" w:pos="567"/>
        </w:tabs>
        <w:spacing w:before="120" w:after="120" w:line="240" w:lineRule="auto"/>
        <w:ind w:left="567" w:hanging="567"/>
        <w:jc w:val="both"/>
        <w:rPr>
          <w:rFonts w:ascii="Arial" w:hAnsi="Arial" w:cs="Arial"/>
          <w:b/>
          <w:sz w:val="28"/>
          <w:szCs w:val="28"/>
        </w:rPr>
      </w:pPr>
      <w:r w:rsidRPr="007F65E0">
        <w:rPr>
          <w:rFonts w:ascii="Arial" w:hAnsi="Arial" w:cs="Arial"/>
          <w:b/>
          <w:sz w:val="28"/>
          <w:szCs w:val="28"/>
        </w:rPr>
        <w:t>Introduction</w:t>
      </w:r>
    </w:p>
    <w:p w:rsidR="004E5A0A" w:rsidRPr="00DC3125" w:rsidRDefault="00E30154" w:rsidP="00F95566">
      <w:pPr>
        <w:numPr>
          <w:ilvl w:val="1"/>
          <w:numId w:val="1"/>
        </w:numPr>
        <w:tabs>
          <w:tab w:val="clear" w:pos="851"/>
          <w:tab w:val="num" w:pos="567"/>
        </w:tabs>
        <w:spacing w:before="120" w:after="120" w:line="240" w:lineRule="auto"/>
        <w:ind w:left="567" w:hanging="567"/>
        <w:jc w:val="both"/>
        <w:rPr>
          <w:rFonts w:ascii="Arial" w:hAnsi="Arial" w:cs="Arial"/>
          <w:sz w:val="24"/>
          <w:szCs w:val="24"/>
        </w:rPr>
      </w:pPr>
      <w:r w:rsidRPr="00DC3125">
        <w:rPr>
          <w:rFonts w:ascii="Arial" w:hAnsi="Arial" w:cs="Arial"/>
          <w:sz w:val="24"/>
          <w:szCs w:val="24"/>
        </w:rPr>
        <w:t xml:space="preserve">This report highlights </w:t>
      </w:r>
      <w:r>
        <w:rPr>
          <w:rFonts w:ascii="Arial" w:hAnsi="Arial" w:cs="Arial"/>
          <w:sz w:val="24"/>
          <w:szCs w:val="24"/>
        </w:rPr>
        <w:t>the</w:t>
      </w:r>
      <w:r w:rsidRPr="00DC3125">
        <w:rPr>
          <w:rFonts w:ascii="Arial" w:hAnsi="Arial" w:cs="Arial"/>
          <w:sz w:val="24"/>
          <w:szCs w:val="24"/>
        </w:rPr>
        <w:t xml:space="preserve"> issues that the Audit</w:t>
      </w:r>
      <w:r>
        <w:rPr>
          <w:rFonts w:ascii="Arial" w:hAnsi="Arial" w:cs="Arial"/>
          <w:sz w:val="24"/>
          <w:szCs w:val="24"/>
        </w:rPr>
        <w:t>, Risk</w:t>
      </w:r>
      <w:r w:rsidRPr="00DC3125">
        <w:rPr>
          <w:rFonts w:ascii="Arial" w:hAnsi="Arial" w:cs="Arial"/>
          <w:sz w:val="24"/>
          <w:szCs w:val="24"/>
        </w:rPr>
        <w:t xml:space="preserve"> and Governance Committee should be aware of in fulfilling its role of providing independent oversight of the adequacy of the council's governance, risk management and internal control framework. It </w:t>
      </w:r>
      <w:r>
        <w:rPr>
          <w:rFonts w:ascii="Arial" w:hAnsi="Arial" w:cs="Arial"/>
          <w:sz w:val="24"/>
          <w:szCs w:val="24"/>
        </w:rPr>
        <w:t>sets out the issues arising from</w:t>
      </w:r>
      <w:r w:rsidRPr="00DC3125">
        <w:rPr>
          <w:rFonts w:ascii="Arial" w:hAnsi="Arial" w:cs="Arial"/>
          <w:sz w:val="24"/>
          <w:szCs w:val="24"/>
        </w:rPr>
        <w:t xml:space="preserve"> the work undertaken during the </w:t>
      </w:r>
      <w:r>
        <w:rPr>
          <w:rFonts w:ascii="Arial" w:hAnsi="Arial" w:cs="Arial"/>
          <w:sz w:val="24"/>
          <w:szCs w:val="24"/>
        </w:rPr>
        <w:t xml:space="preserve">period </w:t>
      </w:r>
      <w:r w:rsidRPr="00DC3125">
        <w:rPr>
          <w:rFonts w:ascii="Arial" w:hAnsi="Arial" w:cs="Arial"/>
          <w:sz w:val="24"/>
          <w:szCs w:val="24"/>
        </w:rPr>
        <w:t xml:space="preserve">to </w:t>
      </w:r>
      <w:r>
        <w:rPr>
          <w:rFonts w:ascii="Arial" w:hAnsi="Arial" w:cs="Arial"/>
          <w:sz w:val="24"/>
          <w:szCs w:val="24"/>
        </w:rPr>
        <w:t xml:space="preserve">31 March 2018 </w:t>
      </w:r>
      <w:r w:rsidRPr="00DC3125">
        <w:rPr>
          <w:rFonts w:ascii="Arial" w:hAnsi="Arial" w:cs="Arial"/>
          <w:sz w:val="24"/>
          <w:szCs w:val="24"/>
        </w:rPr>
        <w:t>by the Internal Audit Service under the audit plan for 201</w:t>
      </w:r>
      <w:r>
        <w:rPr>
          <w:rFonts w:ascii="Arial" w:hAnsi="Arial" w:cs="Arial"/>
          <w:sz w:val="24"/>
          <w:szCs w:val="24"/>
        </w:rPr>
        <w:t>7/18.</w:t>
      </w:r>
    </w:p>
    <w:p w:rsidR="004E5A0A" w:rsidRDefault="00E30154" w:rsidP="00F95566">
      <w:pPr>
        <w:numPr>
          <w:ilvl w:val="1"/>
          <w:numId w:val="1"/>
        </w:numPr>
        <w:tabs>
          <w:tab w:val="clear" w:pos="851"/>
          <w:tab w:val="num" w:pos="567"/>
        </w:tabs>
        <w:spacing w:before="120" w:after="120" w:line="240" w:lineRule="auto"/>
        <w:ind w:left="567" w:hanging="567"/>
        <w:jc w:val="both"/>
        <w:rPr>
          <w:rFonts w:ascii="Arial" w:hAnsi="Arial" w:cs="Arial"/>
          <w:sz w:val="24"/>
          <w:szCs w:val="24"/>
        </w:rPr>
      </w:pPr>
      <w:r w:rsidRPr="00114826">
        <w:rPr>
          <w:rFonts w:ascii="Arial" w:hAnsi="Arial" w:cs="Arial"/>
          <w:sz w:val="24"/>
          <w:szCs w:val="24"/>
        </w:rPr>
        <w:t xml:space="preserve">A full table of all the work </w:t>
      </w:r>
      <w:r>
        <w:rPr>
          <w:rFonts w:ascii="Arial" w:hAnsi="Arial" w:cs="Arial"/>
          <w:sz w:val="24"/>
          <w:szCs w:val="24"/>
        </w:rPr>
        <w:t xml:space="preserve">on the audit plan </w:t>
      </w:r>
      <w:r w:rsidRPr="00114826">
        <w:rPr>
          <w:rFonts w:ascii="Arial" w:hAnsi="Arial" w:cs="Arial"/>
          <w:sz w:val="24"/>
          <w:szCs w:val="24"/>
        </w:rPr>
        <w:t>for 201</w:t>
      </w:r>
      <w:r>
        <w:rPr>
          <w:rFonts w:ascii="Arial" w:hAnsi="Arial" w:cs="Arial"/>
          <w:sz w:val="24"/>
          <w:szCs w:val="24"/>
        </w:rPr>
        <w:t>7</w:t>
      </w:r>
      <w:r w:rsidRPr="00114826">
        <w:rPr>
          <w:rFonts w:ascii="Arial" w:hAnsi="Arial" w:cs="Arial"/>
          <w:sz w:val="24"/>
          <w:szCs w:val="24"/>
        </w:rPr>
        <w:t>/1</w:t>
      </w:r>
      <w:r>
        <w:rPr>
          <w:rFonts w:ascii="Arial" w:hAnsi="Arial" w:cs="Arial"/>
          <w:sz w:val="24"/>
          <w:szCs w:val="24"/>
        </w:rPr>
        <w:t>8</w:t>
      </w:r>
      <w:r w:rsidRPr="00114826">
        <w:rPr>
          <w:rFonts w:ascii="Arial" w:hAnsi="Arial" w:cs="Arial"/>
          <w:sz w:val="24"/>
          <w:szCs w:val="24"/>
        </w:rPr>
        <w:t xml:space="preserve"> is included at Appendix B, setting out brief notes of the progress made </w:t>
      </w:r>
      <w:r>
        <w:rPr>
          <w:rFonts w:ascii="Arial" w:hAnsi="Arial" w:cs="Arial"/>
          <w:sz w:val="24"/>
          <w:szCs w:val="24"/>
        </w:rPr>
        <w:t xml:space="preserve">and conclusions </w:t>
      </w:r>
      <w:r w:rsidRPr="00114826">
        <w:rPr>
          <w:rFonts w:ascii="Arial" w:hAnsi="Arial" w:cs="Arial"/>
          <w:sz w:val="24"/>
          <w:szCs w:val="24"/>
        </w:rPr>
        <w:t xml:space="preserve">on each </w:t>
      </w:r>
      <w:r>
        <w:rPr>
          <w:rFonts w:ascii="Arial" w:hAnsi="Arial" w:cs="Arial"/>
          <w:sz w:val="24"/>
          <w:szCs w:val="24"/>
        </w:rPr>
        <w:t>engagement</w:t>
      </w:r>
      <w:r w:rsidRPr="00114826">
        <w:rPr>
          <w:rFonts w:ascii="Arial" w:hAnsi="Arial" w:cs="Arial"/>
          <w:sz w:val="24"/>
          <w:szCs w:val="24"/>
        </w:rPr>
        <w:t>.</w:t>
      </w:r>
      <w:r w:rsidRPr="00E11D65">
        <w:rPr>
          <w:rFonts w:ascii="Arial" w:hAnsi="Arial" w:cs="Arial"/>
          <w:sz w:val="24"/>
          <w:szCs w:val="24"/>
        </w:rPr>
        <w:t xml:space="preserve"> </w:t>
      </w:r>
      <w:r>
        <w:rPr>
          <w:rFonts w:ascii="Arial" w:hAnsi="Arial" w:cs="Arial"/>
          <w:sz w:val="24"/>
          <w:szCs w:val="24"/>
        </w:rPr>
        <w:t>The audit work still in progress at this point will be finalised and reported to the Audit, Risk and Governance Committee on 30 July 2018.</w:t>
      </w:r>
    </w:p>
    <w:p w:rsidR="0084218E" w:rsidRPr="0084218E" w:rsidRDefault="00E30154" w:rsidP="00F95566">
      <w:pPr>
        <w:numPr>
          <w:ilvl w:val="1"/>
          <w:numId w:val="1"/>
        </w:numPr>
        <w:tabs>
          <w:tab w:val="clear" w:pos="851"/>
          <w:tab w:val="num" w:pos="567"/>
        </w:tabs>
        <w:spacing w:before="120" w:after="120" w:line="240" w:lineRule="auto"/>
        <w:ind w:left="567" w:hanging="567"/>
        <w:jc w:val="both"/>
        <w:rPr>
          <w:rFonts w:ascii="Arial" w:hAnsi="Arial" w:cs="Arial"/>
          <w:sz w:val="24"/>
          <w:szCs w:val="24"/>
        </w:rPr>
      </w:pPr>
      <w:r w:rsidRPr="0084218E">
        <w:rPr>
          <w:rFonts w:ascii="Arial" w:hAnsi="Arial" w:cs="Arial"/>
          <w:sz w:val="24"/>
          <w:szCs w:val="24"/>
        </w:rPr>
        <w:t>The work completed to the end of March 2018 support</w:t>
      </w:r>
      <w:r>
        <w:rPr>
          <w:rFonts w:ascii="Arial" w:hAnsi="Arial" w:cs="Arial"/>
          <w:sz w:val="24"/>
          <w:szCs w:val="24"/>
        </w:rPr>
        <w:t>s</w:t>
      </w:r>
      <w:r w:rsidRPr="0084218E">
        <w:rPr>
          <w:rFonts w:ascii="Arial" w:hAnsi="Arial" w:cs="Arial"/>
          <w:sz w:val="24"/>
          <w:szCs w:val="24"/>
        </w:rPr>
        <w:t xml:space="preserve"> the overall opinion in the annual internal audit report</w:t>
      </w:r>
      <w:r>
        <w:rPr>
          <w:rFonts w:ascii="Arial" w:hAnsi="Arial" w:cs="Arial"/>
          <w:sz w:val="24"/>
          <w:szCs w:val="24"/>
        </w:rPr>
        <w:t xml:space="preserve"> which </w:t>
      </w:r>
      <w:r w:rsidRPr="0084218E">
        <w:rPr>
          <w:rFonts w:ascii="Arial" w:hAnsi="Arial" w:cs="Arial"/>
          <w:sz w:val="24"/>
          <w:szCs w:val="24"/>
        </w:rPr>
        <w:t>is set out in the separate annual report to this committee.</w:t>
      </w:r>
    </w:p>
    <w:p w:rsidR="004E5A0A" w:rsidRPr="00DC3125" w:rsidRDefault="00E30154" w:rsidP="00F95566">
      <w:pPr>
        <w:numPr>
          <w:ilvl w:val="0"/>
          <w:numId w:val="3"/>
        </w:numPr>
        <w:tabs>
          <w:tab w:val="num" w:pos="567"/>
        </w:tabs>
        <w:spacing w:before="120" w:after="120" w:line="240" w:lineRule="auto"/>
        <w:ind w:left="567" w:hanging="567"/>
        <w:jc w:val="both"/>
        <w:rPr>
          <w:rFonts w:ascii="Arial" w:hAnsi="Arial" w:cs="Arial"/>
          <w:b/>
          <w:sz w:val="28"/>
          <w:szCs w:val="28"/>
        </w:rPr>
      </w:pPr>
      <w:r>
        <w:rPr>
          <w:rFonts w:ascii="Arial" w:hAnsi="Arial" w:cs="Arial"/>
          <w:b/>
          <w:sz w:val="28"/>
          <w:szCs w:val="28"/>
        </w:rPr>
        <w:t>Progress as at the year end</w:t>
      </w:r>
    </w:p>
    <w:p w:rsidR="009C6971" w:rsidRPr="009C6971"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9C6971">
        <w:rPr>
          <w:rFonts w:ascii="Arial" w:hAnsi="Arial" w:cs="Arial"/>
          <w:sz w:val="24"/>
          <w:szCs w:val="24"/>
        </w:rPr>
        <w:t>Audit work has progressed well and is either complete or is very nearly so</w:t>
      </w:r>
      <w:r>
        <w:rPr>
          <w:rFonts w:ascii="Arial" w:hAnsi="Arial" w:cs="Arial"/>
          <w:sz w:val="24"/>
          <w:szCs w:val="24"/>
        </w:rPr>
        <w:t xml:space="preserve"> at the year-end; a </w:t>
      </w:r>
      <w:r w:rsidRPr="009C6971">
        <w:rPr>
          <w:rFonts w:ascii="Arial" w:hAnsi="Arial" w:cs="Arial"/>
          <w:sz w:val="24"/>
          <w:szCs w:val="24"/>
        </w:rPr>
        <w:t>number of engagements remain to be finalised</w:t>
      </w:r>
      <w:r>
        <w:rPr>
          <w:rFonts w:ascii="Arial" w:hAnsi="Arial" w:cs="Arial"/>
          <w:sz w:val="24"/>
          <w:szCs w:val="24"/>
        </w:rPr>
        <w:t xml:space="preserve"> and will be reported to the committee at its next meeting in July 2018. Of the 58 audit engagements on the audit plan agreed in June 2017 after work on 11 audits has been deferred or cancelled, 31 have been reported, 12 reports are being prepared and discussed with management and 15 are in progress and/ or already nearing completion.</w:t>
      </w:r>
    </w:p>
    <w:p w:rsidR="004E5A0A" w:rsidRPr="00212593" w:rsidRDefault="00E30154" w:rsidP="00F95566">
      <w:pPr>
        <w:numPr>
          <w:ilvl w:val="0"/>
          <w:numId w:val="3"/>
        </w:numPr>
        <w:tabs>
          <w:tab w:val="num" w:pos="567"/>
        </w:tabs>
        <w:spacing w:before="120" w:after="120" w:line="240" w:lineRule="auto"/>
        <w:ind w:left="567" w:hanging="567"/>
        <w:jc w:val="both"/>
        <w:rPr>
          <w:rFonts w:ascii="Arial" w:hAnsi="Arial" w:cs="Arial"/>
          <w:b/>
          <w:sz w:val="28"/>
          <w:szCs w:val="28"/>
        </w:rPr>
      </w:pPr>
      <w:r>
        <w:rPr>
          <w:rFonts w:ascii="Arial" w:hAnsi="Arial" w:cs="Arial"/>
          <w:b/>
          <w:sz w:val="28"/>
          <w:szCs w:val="28"/>
        </w:rPr>
        <w:t>The assurance available from completed audit work</w:t>
      </w:r>
    </w:p>
    <w:p w:rsidR="002F69D0"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 xml:space="preserve">A brief summary of the assurance provided for each of the audits relating to 2017/18 and completed by 31 March 2018 is provided in the table below. More information about the matters arising from each of the audits completed since December 2017 is set out in </w:t>
      </w:r>
      <w:r w:rsidRPr="00FF4F56">
        <w:rPr>
          <w:rFonts w:ascii="Arial" w:hAnsi="Arial" w:cs="Arial"/>
          <w:sz w:val="24"/>
          <w:szCs w:val="24"/>
        </w:rPr>
        <w:t xml:space="preserve">section 6 </w:t>
      </w:r>
      <w:r>
        <w:rPr>
          <w:rFonts w:ascii="Arial" w:hAnsi="Arial" w:cs="Arial"/>
          <w:sz w:val="24"/>
          <w:szCs w:val="24"/>
        </w:rPr>
        <w:t>and progress reports in September 2017 and January 2018 provide more information about each of the audits completed earlier in the year.</w:t>
      </w:r>
    </w:p>
    <w:tbl>
      <w:tblPr>
        <w:tblStyle w:val="TableGrid"/>
        <w:tblW w:w="0" w:type="auto"/>
        <w:tblInd w:w="426" w:type="dxa"/>
        <w:tblLook w:val="04A0" w:firstRow="1" w:lastRow="0" w:firstColumn="1" w:lastColumn="0" w:noHBand="0" w:noVBand="1"/>
      </w:tblPr>
      <w:tblGrid>
        <w:gridCol w:w="7192"/>
        <w:gridCol w:w="1444"/>
      </w:tblGrid>
      <w:tr w:rsidR="00277CB8" w:rsidTr="004E5A0A">
        <w:trPr>
          <w:tblHeader/>
        </w:trPr>
        <w:tc>
          <w:tcPr>
            <w:tcW w:w="7192" w:type="dxa"/>
            <w:shd w:val="clear" w:color="auto" w:fill="D9D9D9" w:themeFill="background1" w:themeFillShade="D9"/>
          </w:tcPr>
          <w:p w:rsidR="004E5A0A" w:rsidRPr="002E129C" w:rsidRDefault="00E30154" w:rsidP="00F95566">
            <w:pPr>
              <w:pStyle w:val="ListParagraph"/>
              <w:spacing w:before="60" w:after="60" w:line="240" w:lineRule="auto"/>
              <w:ind w:left="0"/>
              <w:jc w:val="both"/>
              <w:rPr>
                <w:rFonts w:ascii="Arial" w:hAnsi="Arial" w:cs="Arial"/>
                <w:b/>
                <w:sz w:val="24"/>
                <w:szCs w:val="24"/>
              </w:rPr>
            </w:pPr>
            <w:r w:rsidRPr="002E129C">
              <w:rPr>
                <w:rFonts w:ascii="Arial" w:hAnsi="Arial" w:cs="Arial"/>
                <w:b/>
                <w:sz w:val="24"/>
                <w:szCs w:val="24"/>
              </w:rPr>
              <w:t>Control area</w:t>
            </w:r>
          </w:p>
        </w:tc>
        <w:tc>
          <w:tcPr>
            <w:tcW w:w="1444" w:type="dxa"/>
            <w:shd w:val="clear" w:color="auto" w:fill="D9D9D9" w:themeFill="background1" w:themeFillShade="D9"/>
          </w:tcPr>
          <w:p w:rsidR="004E5A0A" w:rsidRPr="002E129C" w:rsidRDefault="00E30154" w:rsidP="00F95566">
            <w:pPr>
              <w:pStyle w:val="ListParagraph"/>
              <w:spacing w:before="60" w:after="60" w:line="240" w:lineRule="auto"/>
              <w:ind w:left="0"/>
              <w:jc w:val="both"/>
              <w:rPr>
                <w:rFonts w:ascii="Arial" w:hAnsi="Arial" w:cs="Arial"/>
                <w:b/>
                <w:sz w:val="24"/>
                <w:szCs w:val="24"/>
              </w:rPr>
            </w:pPr>
            <w:r w:rsidRPr="002E129C">
              <w:rPr>
                <w:rFonts w:ascii="Arial" w:hAnsi="Arial" w:cs="Arial"/>
                <w:b/>
                <w:sz w:val="24"/>
                <w:szCs w:val="24"/>
              </w:rPr>
              <w:t>Assurance</w:t>
            </w:r>
          </w:p>
        </w:tc>
      </w:tr>
      <w:tr w:rsidR="00277CB8" w:rsidTr="004E5A0A">
        <w:tc>
          <w:tcPr>
            <w:tcW w:w="8636" w:type="dxa"/>
            <w:gridSpan w:val="2"/>
          </w:tcPr>
          <w:p w:rsidR="004E5A0A" w:rsidRPr="00EE07EC" w:rsidRDefault="00E30154" w:rsidP="00F95566">
            <w:pPr>
              <w:pStyle w:val="ListParagraph"/>
              <w:spacing w:before="60" w:after="60" w:line="240" w:lineRule="auto"/>
              <w:ind w:left="0"/>
              <w:jc w:val="both"/>
              <w:rPr>
                <w:rFonts w:ascii="Arial" w:hAnsi="Arial" w:cs="Arial"/>
                <w:sz w:val="22"/>
                <w:szCs w:val="22"/>
              </w:rPr>
            </w:pPr>
            <w:r w:rsidRPr="00EE07EC">
              <w:rPr>
                <w:rFonts w:ascii="Arial" w:hAnsi="Arial" w:cs="Arial"/>
                <w:b/>
                <w:color w:val="000000"/>
                <w:sz w:val="22"/>
                <w:szCs w:val="22"/>
                <w:lang w:eastAsia="en-GB"/>
              </w:rPr>
              <w:t>Business effectiveness</w:t>
            </w:r>
          </w:p>
        </w:tc>
      </w:tr>
      <w:tr w:rsidR="00277CB8" w:rsidTr="004E5A0A">
        <w:tc>
          <w:tcPr>
            <w:tcW w:w="7192" w:type="dxa"/>
          </w:tcPr>
          <w:p w:rsidR="004E5A0A" w:rsidRPr="00EE07EC" w:rsidRDefault="00E30154" w:rsidP="00F95566">
            <w:pPr>
              <w:pStyle w:val="ListParagraph"/>
              <w:spacing w:before="60" w:after="60" w:line="240" w:lineRule="auto"/>
              <w:ind w:left="0"/>
              <w:jc w:val="both"/>
              <w:rPr>
                <w:rFonts w:ascii="Arial" w:hAnsi="Arial" w:cs="Arial"/>
                <w:color w:val="000000"/>
                <w:sz w:val="22"/>
                <w:szCs w:val="22"/>
                <w:lang w:eastAsia="en-GB"/>
              </w:rPr>
            </w:pPr>
            <w:r w:rsidRPr="00EE07EC">
              <w:rPr>
                <w:rFonts w:ascii="Arial" w:hAnsi="Arial" w:cs="Arial"/>
                <w:color w:val="000000"/>
                <w:sz w:val="22"/>
                <w:szCs w:val="22"/>
                <w:lang w:eastAsia="en-GB"/>
              </w:rPr>
              <w:t>Preparation and use of the corporate risk register.</w:t>
            </w:r>
          </w:p>
        </w:tc>
        <w:tc>
          <w:tcPr>
            <w:tcW w:w="1444" w:type="dxa"/>
          </w:tcPr>
          <w:p w:rsidR="004E5A0A" w:rsidRPr="00EE07EC" w:rsidRDefault="00E30154" w:rsidP="00F95566">
            <w:pPr>
              <w:pStyle w:val="ListParagraph"/>
              <w:spacing w:before="60" w:after="60" w:line="240" w:lineRule="auto"/>
              <w:ind w:left="0"/>
              <w:jc w:val="both"/>
              <w:rPr>
                <w:rFonts w:ascii="Arial" w:hAnsi="Arial" w:cs="Arial"/>
                <w:sz w:val="22"/>
                <w:szCs w:val="22"/>
              </w:rPr>
            </w:pPr>
            <w:r w:rsidRPr="00EE07EC">
              <w:rPr>
                <w:rFonts w:ascii="Arial" w:hAnsi="Arial" w:cs="Arial"/>
                <w:sz w:val="22"/>
                <w:szCs w:val="22"/>
              </w:rPr>
              <w:t>Full</w:t>
            </w:r>
          </w:p>
        </w:tc>
      </w:tr>
      <w:tr w:rsidR="00277CB8" w:rsidTr="0074480F">
        <w:tc>
          <w:tcPr>
            <w:tcW w:w="7192" w:type="dxa"/>
            <w:tcBorders>
              <w:bottom w:val="single" w:sz="4" w:space="0" w:color="auto"/>
            </w:tcBorders>
          </w:tcPr>
          <w:p w:rsidR="00BF25F9" w:rsidRPr="00EE07EC" w:rsidRDefault="00E30154" w:rsidP="00F95566">
            <w:pPr>
              <w:pStyle w:val="ListParagraph"/>
              <w:spacing w:before="60" w:after="60" w:line="240" w:lineRule="auto"/>
              <w:ind w:left="0"/>
              <w:jc w:val="both"/>
              <w:rPr>
                <w:rFonts w:ascii="Arial" w:hAnsi="Arial" w:cs="Arial"/>
                <w:color w:val="000000"/>
                <w:sz w:val="22"/>
                <w:szCs w:val="22"/>
                <w:lang w:eastAsia="en-GB"/>
              </w:rPr>
            </w:pPr>
            <w:r w:rsidRPr="00EE07EC">
              <w:rPr>
                <w:rFonts w:ascii="Arial" w:hAnsi="Arial" w:cs="Arial"/>
                <w:color w:val="000000"/>
                <w:sz w:val="22"/>
                <w:szCs w:val="22"/>
                <w:lang w:eastAsia="en-GB"/>
              </w:rPr>
              <w:t>Oversight of the Lancashire Pension Fund.</w:t>
            </w:r>
          </w:p>
        </w:tc>
        <w:tc>
          <w:tcPr>
            <w:tcW w:w="1444" w:type="dxa"/>
            <w:tcBorders>
              <w:bottom w:val="single" w:sz="4" w:space="0" w:color="auto"/>
            </w:tcBorders>
          </w:tcPr>
          <w:p w:rsidR="00BF25F9" w:rsidRPr="00EE07EC" w:rsidRDefault="00E30154" w:rsidP="00F95566">
            <w:pPr>
              <w:pStyle w:val="ListParagraph"/>
              <w:spacing w:before="60" w:after="60" w:line="240" w:lineRule="auto"/>
              <w:ind w:left="0"/>
              <w:jc w:val="both"/>
              <w:rPr>
                <w:rFonts w:ascii="Arial" w:hAnsi="Arial" w:cs="Arial"/>
                <w:sz w:val="22"/>
                <w:szCs w:val="22"/>
              </w:rPr>
            </w:pPr>
            <w:r w:rsidRPr="00EE07EC">
              <w:rPr>
                <w:rFonts w:ascii="Arial" w:hAnsi="Arial" w:cs="Arial"/>
                <w:sz w:val="22"/>
                <w:szCs w:val="22"/>
              </w:rPr>
              <w:t>Substantial</w:t>
            </w:r>
          </w:p>
        </w:tc>
      </w:tr>
      <w:tr w:rsidR="00277CB8" w:rsidTr="0074480F">
        <w:tc>
          <w:tcPr>
            <w:tcW w:w="8636" w:type="dxa"/>
            <w:gridSpan w:val="2"/>
            <w:tcBorders>
              <w:top w:val="nil"/>
            </w:tcBorders>
          </w:tcPr>
          <w:p w:rsidR="004E5A0A" w:rsidRPr="00EE07EC" w:rsidRDefault="00E30154" w:rsidP="00F95566">
            <w:pPr>
              <w:pStyle w:val="ListParagraph"/>
              <w:spacing w:before="60" w:after="60" w:line="240" w:lineRule="auto"/>
              <w:ind w:left="0"/>
              <w:jc w:val="both"/>
              <w:rPr>
                <w:rFonts w:ascii="Arial" w:hAnsi="Arial" w:cs="Arial"/>
                <w:sz w:val="22"/>
                <w:szCs w:val="22"/>
              </w:rPr>
            </w:pPr>
            <w:r w:rsidRPr="00EE07EC">
              <w:rPr>
                <w:rFonts w:ascii="Arial" w:hAnsi="Arial" w:cs="Arial"/>
                <w:b/>
                <w:bCs/>
                <w:color w:val="000000"/>
                <w:sz w:val="22"/>
                <w:szCs w:val="22"/>
                <w:lang w:eastAsia="en-GB"/>
              </w:rPr>
              <w:t xml:space="preserve">Service delivery: </w:t>
            </w:r>
            <w:r w:rsidRPr="00EE07EC">
              <w:rPr>
                <w:rFonts w:ascii="Arial" w:hAnsi="Arial" w:cs="Arial"/>
                <w:b/>
                <w:color w:val="000000"/>
                <w:sz w:val="22"/>
                <w:szCs w:val="22"/>
                <w:lang w:eastAsia="en-GB"/>
              </w:rPr>
              <w:t>adult services</w:t>
            </w:r>
          </w:p>
        </w:tc>
      </w:tr>
      <w:tr w:rsidR="00277CB8" w:rsidTr="004E5A0A">
        <w:tc>
          <w:tcPr>
            <w:tcW w:w="7192" w:type="dxa"/>
          </w:tcPr>
          <w:p w:rsidR="004E5A0A" w:rsidRPr="00EE07EC" w:rsidRDefault="00E30154" w:rsidP="00F95566">
            <w:pPr>
              <w:pStyle w:val="ListParagraph"/>
              <w:spacing w:before="60" w:after="60" w:line="240" w:lineRule="auto"/>
              <w:ind w:left="0"/>
              <w:jc w:val="both"/>
              <w:rPr>
                <w:rFonts w:ascii="Arial" w:hAnsi="Arial" w:cs="Arial"/>
                <w:color w:val="000000"/>
                <w:sz w:val="22"/>
                <w:szCs w:val="22"/>
                <w:lang w:eastAsia="en-GB"/>
              </w:rPr>
            </w:pPr>
            <w:r w:rsidRPr="00EE07EC">
              <w:rPr>
                <w:rFonts w:ascii="Arial" w:hAnsi="Arial" w:cs="Arial"/>
                <w:color w:val="000000"/>
                <w:sz w:val="22"/>
                <w:szCs w:val="22"/>
                <w:lang w:eastAsia="en-GB"/>
              </w:rPr>
              <w:t>Complex case forums decision making process (formerly 'panel decision making processes').</w:t>
            </w:r>
          </w:p>
        </w:tc>
        <w:tc>
          <w:tcPr>
            <w:tcW w:w="1444" w:type="dxa"/>
          </w:tcPr>
          <w:p w:rsidR="004E5A0A" w:rsidRPr="00EE07EC" w:rsidRDefault="00E30154" w:rsidP="00F95566">
            <w:pPr>
              <w:pStyle w:val="ListParagraph"/>
              <w:spacing w:before="60" w:after="60" w:line="240" w:lineRule="auto"/>
              <w:ind w:left="0"/>
              <w:jc w:val="both"/>
              <w:rPr>
                <w:rFonts w:ascii="Arial" w:hAnsi="Arial" w:cs="Arial"/>
                <w:sz w:val="22"/>
                <w:szCs w:val="22"/>
              </w:rPr>
            </w:pPr>
            <w:r w:rsidRPr="00EE07EC">
              <w:rPr>
                <w:rFonts w:ascii="Arial" w:hAnsi="Arial" w:cs="Arial"/>
                <w:sz w:val="22"/>
                <w:szCs w:val="22"/>
              </w:rPr>
              <w:t>Limited</w:t>
            </w:r>
          </w:p>
        </w:tc>
      </w:tr>
      <w:tr w:rsidR="00277CB8" w:rsidTr="004E5A0A">
        <w:tc>
          <w:tcPr>
            <w:tcW w:w="7192" w:type="dxa"/>
          </w:tcPr>
          <w:p w:rsidR="004E5A0A" w:rsidRPr="00EE07EC" w:rsidRDefault="00E30154" w:rsidP="00F95566">
            <w:pPr>
              <w:pStyle w:val="ListParagraph"/>
              <w:spacing w:before="60" w:after="60" w:line="240" w:lineRule="auto"/>
              <w:ind w:left="0"/>
              <w:jc w:val="both"/>
              <w:rPr>
                <w:rFonts w:ascii="Arial" w:hAnsi="Arial" w:cs="Arial"/>
                <w:color w:val="000000"/>
                <w:sz w:val="22"/>
                <w:szCs w:val="22"/>
                <w:lang w:eastAsia="en-GB"/>
              </w:rPr>
            </w:pPr>
            <w:r w:rsidRPr="00EE07EC">
              <w:rPr>
                <w:rFonts w:ascii="Arial" w:hAnsi="Arial" w:cs="Arial"/>
                <w:color w:val="000000"/>
                <w:sz w:val="22"/>
                <w:szCs w:val="22"/>
                <w:lang w:eastAsia="en-GB"/>
              </w:rPr>
              <w:t xml:space="preserve">Direct payments to service users and their </w:t>
            </w:r>
            <w:proofErr w:type="spellStart"/>
            <w:r w:rsidRPr="00EE07EC">
              <w:rPr>
                <w:rFonts w:ascii="Arial" w:hAnsi="Arial" w:cs="Arial"/>
                <w:color w:val="000000"/>
                <w:sz w:val="22"/>
                <w:szCs w:val="22"/>
                <w:lang w:eastAsia="en-GB"/>
              </w:rPr>
              <w:t>carers</w:t>
            </w:r>
            <w:proofErr w:type="spellEnd"/>
            <w:r w:rsidRPr="00EE07EC">
              <w:rPr>
                <w:rFonts w:ascii="Arial" w:hAnsi="Arial" w:cs="Arial"/>
                <w:color w:val="000000"/>
                <w:sz w:val="22"/>
                <w:szCs w:val="22"/>
                <w:lang w:eastAsia="en-GB"/>
              </w:rPr>
              <w:t>.</w:t>
            </w:r>
          </w:p>
        </w:tc>
        <w:tc>
          <w:tcPr>
            <w:tcW w:w="1444" w:type="dxa"/>
          </w:tcPr>
          <w:p w:rsidR="004E5A0A" w:rsidRPr="00EE07EC" w:rsidRDefault="00E30154" w:rsidP="00F95566">
            <w:pPr>
              <w:pStyle w:val="ListParagraph"/>
              <w:spacing w:before="60" w:after="60" w:line="240" w:lineRule="auto"/>
              <w:ind w:left="0"/>
              <w:jc w:val="both"/>
              <w:rPr>
                <w:rFonts w:ascii="Arial" w:hAnsi="Arial" w:cs="Arial"/>
                <w:color w:val="000000"/>
                <w:sz w:val="22"/>
                <w:szCs w:val="22"/>
                <w:lang w:eastAsia="en-GB"/>
              </w:rPr>
            </w:pPr>
            <w:r w:rsidRPr="00EE07EC">
              <w:rPr>
                <w:rFonts w:ascii="Arial" w:hAnsi="Arial" w:cs="Arial"/>
                <w:sz w:val="22"/>
                <w:szCs w:val="22"/>
              </w:rPr>
              <w:t>Substantial</w:t>
            </w:r>
          </w:p>
        </w:tc>
      </w:tr>
      <w:tr w:rsidR="00277CB8" w:rsidTr="004E5A0A">
        <w:tc>
          <w:tcPr>
            <w:tcW w:w="7192" w:type="dxa"/>
          </w:tcPr>
          <w:p w:rsidR="00EE07EC" w:rsidRPr="00EE07EC" w:rsidRDefault="00E30154" w:rsidP="00F95566">
            <w:pPr>
              <w:pStyle w:val="ListParagraph"/>
              <w:spacing w:before="60" w:after="60" w:line="240" w:lineRule="auto"/>
              <w:ind w:left="0"/>
              <w:jc w:val="both"/>
              <w:rPr>
                <w:rFonts w:ascii="Arial" w:hAnsi="Arial" w:cs="Arial"/>
                <w:color w:val="000000"/>
                <w:sz w:val="22"/>
                <w:szCs w:val="22"/>
                <w:lang w:eastAsia="en-GB"/>
              </w:rPr>
            </w:pPr>
            <w:r>
              <w:rPr>
                <w:rFonts w:ascii="Arial" w:hAnsi="Arial" w:cs="Arial"/>
                <w:color w:val="000000"/>
                <w:sz w:val="22"/>
                <w:szCs w:val="22"/>
                <w:lang w:eastAsia="en-GB"/>
              </w:rPr>
              <w:t>Direct payment financial reviews.</w:t>
            </w:r>
          </w:p>
        </w:tc>
        <w:tc>
          <w:tcPr>
            <w:tcW w:w="1444" w:type="dxa"/>
          </w:tcPr>
          <w:p w:rsidR="00EE07EC" w:rsidRPr="00EE07EC" w:rsidRDefault="00E30154" w:rsidP="00F95566">
            <w:pPr>
              <w:pStyle w:val="ListParagraph"/>
              <w:spacing w:before="60" w:after="60" w:line="240" w:lineRule="auto"/>
              <w:ind w:left="0"/>
              <w:jc w:val="both"/>
              <w:rPr>
                <w:rFonts w:ascii="Arial" w:hAnsi="Arial" w:cs="Arial"/>
                <w:sz w:val="22"/>
                <w:szCs w:val="22"/>
              </w:rPr>
            </w:pPr>
            <w:r>
              <w:rPr>
                <w:rFonts w:ascii="Arial" w:hAnsi="Arial" w:cs="Arial"/>
                <w:sz w:val="22"/>
                <w:szCs w:val="22"/>
              </w:rPr>
              <w:t>Substantial</w:t>
            </w:r>
          </w:p>
        </w:tc>
      </w:tr>
      <w:tr w:rsidR="00277CB8" w:rsidTr="004E5A0A">
        <w:tc>
          <w:tcPr>
            <w:tcW w:w="7192" w:type="dxa"/>
          </w:tcPr>
          <w:p w:rsidR="00B46EFE" w:rsidRPr="00EE07EC" w:rsidRDefault="00E30154" w:rsidP="00F95566">
            <w:pPr>
              <w:pStyle w:val="ListParagraph"/>
              <w:spacing w:before="60" w:after="60" w:line="240" w:lineRule="auto"/>
              <w:ind w:left="0"/>
              <w:jc w:val="both"/>
              <w:rPr>
                <w:rFonts w:ascii="Arial" w:hAnsi="Arial" w:cs="Arial"/>
                <w:color w:val="000000"/>
                <w:sz w:val="22"/>
                <w:szCs w:val="22"/>
                <w:lang w:eastAsia="en-GB"/>
              </w:rPr>
            </w:pPr>
            <w:r w:rsidRPr="00EE07EC">
              <w:rPr>
                <w:rFonts w:ascii="Arial" w:hAnsi="Arial" w:cs="Arial"/>
                <w:color w:val="000000"/>
                <w:sz w:val="22"/>
                <w:szCs w:val="22"/>
                <w:lang w:eastAsia="en-GB"/>
              </w:rPr>
              <w:t>Service user financial assessments.</w:t>
            </w:r>
          </w:p>
        </w:tc>
        <w:tc>
          <w:tcPr>
            <w:tcW w:w="1444" w:type="dxa"/>
          </w:tcPr>
          <w:p w:rsidR="00B46EFE" w:rsidRPr="00EE07EC" w:rsidRDefault="00E30154" w:rsidP="00F95566">
            <w:pPr>
              <w:pStyle w:val="ListParagraph"/>
              <w:spacing w:before="60" w:after="60" w:line="240" w:lineRule="auto"/>
              <w:ind w:left="0"/>
              <w:jc w:val="both"/>
              <w:rPr>
                <w:rFonts w:ascii="Arial" w:hAnsi="Arial" w:cs="Arial"/>
                <w:sz w:val="22"/>
                <w:szCs w:val="22"/>
              </w:rPr>
            </w:pPr>
            <w:r w:rsidRPr="00EE07EC">
              <w:rPr>
                <w:rFonts w:ascii="Arial" w:hAnsi="Arial" w:cs="Arial"/>
                <w:sz w:val="22"/>
                <w:szCs w:val="22"/>
              </w:rPr>
              <w:t>Substantial</w:t>
            </w:r>
          </w:p>
        </w:tc>
      </w:tr>
      <w:tr w:rsidR="00277CB8" w:rsidTr="009109F5">
        <w:tc>
          <w:tcPr>
            <w:tcW w:w="8636" w:type="dxa"/>
            <w:gridSpan w:val="2"/>
          </w:tcPr>
          <w:p w:rsidR="004E5A0A" w:rsidRPr="00EE07EC" w:rsidRDefault="00E30154" w:rsidP="00F95566">
            <w:pPr>
              <w:pStyle w:val="ListParagraph"/>
              <w:spacing w:before="60" w:after="60" w:line="240" w:lineRule="auto"/>
              <w:ind w:left="0"/>
              <w:jc w:val="both"/>
              <w:rPr>
                <w:rFonts w:ascii="Arial" w:hAnsi="Arial" w:cs="Arial"/>
                <w:sz w:val="22"/>
                <w:szCs w:val="22"/>
              </w:rPr>
            </w:pPr>
            <w:r w:rsidRPr="00EE07EC">
              <w:rPr>
                <w:rFonts w:ascii="Arial" w:hAnsi="Arial" w:cs="Arial"/>
                <w:b/>
                <w:bCs/>
                <w:color w:val="000000"/>
                <w:sz w:val="22"/>
                <w:szCs w:val="22"/>
                <w:lang w:eastAsia="en-GB"/>
              </w:rPr>
              <w:lastRenderedPageBreak/>
              <w:t>Service delivery: children's services</w:t>
            </w:r>
          </w:p>
        </w:tc>
      </w:tr>
      <w:tr w:rsidR="00277CB8" w:rsidTr="004E5A0A">
        <w:tc>
          <w:tcPr>
            <w:tcW w:w="7192" w:type="dxa"/>
          </w:tcPr>
          <w:p w:rsidR="004E5A0A" w:rsidRPr="00EE07EC" w:rsidRDefault="00E30154" w:rsidP="00F95566">
            <w:pPr>
              <w:pStyle w:val="ListParagraph"/>
              <w:spacing w:before="60" w:after="60" w:line="240" w:lineRule="auto"/>
              <w:ind w:left="0"/>
              <w:jc w:val="both"/>
              <w:rPr>
                <w:rFonts w:ascii="Arial" w:hAnsi="Arial" w:cs="Arial"/>
                <w:color w:val="000000"/>
                <w:sz w:val="22"/>
                <w:szCs w:val="22"/>
                <w:lang w:eastAsia="en-GB"/>
              </w:rPr>
            </w:pPr>
            <w:r w:rsidRPr="00EE07EC">
              <w:rPr>
                <w:rFonts w:ascii="Arial" w:hAnsi="Arial" w:cs="Arial"/>
                <w:color w:val="000000"/>
                <w:sz w:val="22"/>
                <w:szCs w:val="22"/>
                <w:lang w:eastAsia="en-GB"/>
              </w:rPr>
              <w:t>Safeguarding through recruitment: selection and vetting procedures.</w:t>
            </w:r>
          </w:p>
        </w:tc>
        <w:tc>
          <w:tcPr>
            <w:tcW w:w="1444" w:type="dxa"/>
          </w:tcPr>
          <w:p w:rsidR="004E5A0A" w:rsidRPr="00EE07EC" w:rsidRDefault="00E30154" w:rsidP="00F95566">
            <w:pPr>
              <w:pStyle w:val="ListParagraph"/>
              <w:spacing w:before="60" w:after="60" w:line="240" w:lineRule="auto"/>
              <w:ind w:left="0"/>
              <w:jc w:val="both"/>
              <w:rPr>
                <w:rFonts w:ascii="Arial" w:hAnsi="Arial" w:cs="Arial"/>
                <w:sz w:val="22"/>
                <w:szCs w:val="22"/>
              </w:rPr>
            </w:pPr>
            <w:r w:rsidRPr="00EE07EC">
              <w:rPr>
                <w:rFonts w:ascii="Arial" w:hAnsi="Arial" w:cs="Arial"/>
                <w:sz w:val="22"/>
                <w:szCs w:val="22"/>
              </w:rPr>
              <w:t>Substantial</w:t>
            </w:r>
          </w:p>
        </w:tc>
      </w:tr>
      <w:tr w:rsidR="00277CB8" w:rsidTr="004E5A0A">
        <w:tc>
          <w:tcPr>
            <w:tcW w:w="7192" w:type="dxa"/>
          </w:tcPr>
          <w:p w:rsidR="009A519F" w:rsidRDefault="00E30154" w:rsidP="00F95566">
            <w:pPr>
              <w:pStyle w:val="ListParagraph"/>
              <w:spacing w:before="60" w:after="60" w:line="240" w:lineRule="auto"/>
              <w:ind w:left="0"/>
              <w:jc w:val="both"/>
              <w:rPr>
                <w:rFonts w:ascii="Arial" w:hAnsi="Arial" w:cs="Arial"/>
                <w:color w:val="000000"/>
                <w:sz w:val="22"/>
                <w:szCs w:val="22"/>
                <w:lang w:eastAsia="en-GB"/>
              </w:rPr>
            </w:pPr>
            <w:r>
              <w:rPr>
                <w:rFonts w:ascii="Arial" w:hAnsi="Arial" w:cs="Arial"/>
                <w:color w:val="000000"/>
                <w:sz w:val="22"/>
                <w:szCs w:val="22"/>
                <w:lang w:eastAsia="en-GB"/>
              </w:rPr>
              <w:t>Information security within parts of Children's Services.</w:t>
            </w:r>
          </w:p>
          <w:p w:rsidR="00BA067E" w:rsidRPr="00EE07EC" w:rsidRDefault="00E30154" w:rsidP="00F95566">
            <w:pPr>
              <w:pStyle w:val="ListParagraph"/>
              <w:spacing w:before="60" w:after="60" w:line="240" w:lineRule="auto"/>
              <w:ind w:left="0"/>
              <w:jc w:val="both"/>
              <w:rPr>
                <w:rFonts w:ascii="Arial" w:hAnsi="Arial" w:cs="Arial"/>
                <w:color w:val="000000"/>
                <w:sz w:val="22"/>
                <w:szCs w:val="22"/>
                <w:lang w:eastAsia="en-GB"/>
              </w:rPr>
            </w:pPr>
            <w:r w:rsidRPr="009A519F">
              <w:rPr>
                <w:rFonts w:ascii="Arial" w:hAnsi="Arial" w:cs="Arial"/>
                <w:lang w:eastAsia="en-GB"/>
              </w:rPr>
              <w:t>(This audit addressed only the adequacy of the operational system's overall design, not its effectiveness.)</w:t>
            </w:r>
          </w:p>
        </w:tc>
        <w:tc>
          <w:tcPr>
            <w:tcW w:w="1444" w:type="dxa"/>
          </w:tcPr>
          <w:p w:rsidR="00BA067E" w:rsidRPr="00EE07EC" w:rsidRDefault="00E30154" w:rsidP="00F95566">
            <w:pPr>
              <w:pStyle w:val="ListParagraph"/>
              <w:spacing w:before="60" w:after="60" w:line="240" w:lineRule="auto"/>
              <w:ind w:left="0"/>
              <w:jc w:val="both"/>
              <w:rPr>
                <w:rFonts w:ascii="Arial" w:hAnsi="Arial" w:cs="Arial"/>
                <w:sz w:val="22"/>
                <w:szCs w:val="22"/>
              </w:rPr>
            </w:pPr>
            <w:r>
              <w:rPr>
                <w:rFonts w:ascii="Arial" w:hAnsi="Arial" w:cs="Arial"/>
                <w:sz w:val="22"/>
                <w:szCs w:val="22"/>
              </w:rPr>
              <w:t>Substantial</w:t>
            </w:r>
          </w:p>
        </w:tc>
      </w:tr>
      <w:tr w:rsidR="00277CB8" w:rsidTr="004E5A0A">
        <w:tc>
          <w:tcPr>
            <w:tcW w:w="7192" w:type="dxa"/>
          </w:tcPr>
          <w:p w:rsidR="00606A4C" w:rsidRPr="00EE07EC" w:rsidRDefault="00E30154" w:rsidP="00F95566">
            <w:pPr>
              <w:pStyle w:val="ListParagraph"/>
              <w:spacing w:before="60" w:after="60" w:line="240" w:lineRule="auto"/>
              <w:ind w:left="0"/>
              <w:jc w:val="both"/>
              <w:rPr>
                <w:rFonts w:ascii="Arial" w:hAnsi="Arial" w:cs="Arial"/>
                <w:color w:val="000000"/>
                <w:sz w:val="22"/>
                <w:szCs w:val="22"/>
                <w:lang w:eastAsia="en-GB"/>
              </w:rPr>
            </w:pPr>
            <w:r w:rsidRPr="00EE07EC">
              <w:rPr>
                <w:rFonts w:ascii="Arial" w:hAnsi="Arial" w:cs="Arial"/>
                <w:color w:val="000000"/>
                <w:sz w:val="22"/>
                <w:szCs w:val="22"/>
                <w:lang w:eastAsia="en-GB"/>
              </w:rPr>
              <w:t xml:space="preserve">Personal budgets for service users and direct payments to their </w:t>
            </w:r>
            <w:proofErr w:type="spellStart"/>
            <w:r w:rsidRPr="00EE07EC">
              <w:rPr>
                <w:rFonts w:ascii="Arial" w:hAnsi="Arial" w:cs="Arial"/>
                <w:color w:val="000000"/>
                <w:sz w:val="22"/>
                <w:szCs w:val="22"/>
                <w:lang w:eastAsia="en-GB"/>
              </w:rPr>
              <w:t>carers</w:t>
            </w:r>
            <w:proofErr w:type="spellEnd"/>
            <w:r w:rsidRPr="00EE07EC">
              <w:rPr>
                <w:rFonts w:ascii="Arial" w:hAnsi="Arial" w:cs="Arial"/>
                <w:color w:val="000000"/>
                <w:sz w:val="22"/>
                <w:szCs w:val="22"/>
                <w:lang w:eastAsia="en-GB"/>
              </w:rPr>
              <w:t>.</w:t>
            </w:r>
          </w:p>
        </w:tc>
        <w:tc>
          <w:tcPr>
            <w:tcW w:w="1444" w:type="dxa"/>
          </w:tcPr>
          <w:p w:rsidR="00606A4C" w:rsidRPr="00EE07EC" w:rsidRDefault="00E30154" w:rsidP="00F95566">
            <w:pPr>
              <w:pStyle w:val="ListParagraph"/>
              <w:spacing w:before="60" w:after="60" w:line="240" w:lineRule="auto"/>
              <w:ind w:left="0"/>
              <w:jc w:val="both"/>
              <w:rPr>
                <w:rFonts w:ascii="Arial" w:hAnsi="Arial" w:cs="Arial"/>
                <w:sz w:val="22"/>
                <w:szCs w:val="22"/>
              </w:rPr>
            </w:pPr>
            <w:r w:rsidRPr="00EE07EC">
              <w:rPr>
                <w:rFonts w:ascii="Arial" w:hAnsi="Arial" w:cs="Arial"/>
                <w:sz w:val="22"/>
                <w:szCs w:val="22"/>
              </w:rPr>
              <w:t>Limited</w:t>
            </w:r>
          </w:p>
        </w:tc>
      </w:tr>
      <w:tr w:rsidR="00277CB8" w:rsidTr="004E5A0A">
        <w:tc>
          <w:tcPr>
            <w:tcW w:w="7192" w:type="dxa"/>
          </w:tcPr>
          <w:p w:rsidR="009109F5" w:rsidRPr="00EE07EC" w:rsidRDefault="00E30154" w:rsidP="00F95566">
            <w:pPr>
              <w:pStyle w:val="ListParagraph"/>
              <w:spacing w:before="60" w:after="60" w:line="240" w:lineRule="auto"/>
              <w:ind w:left="0"/>
              <w:jc w:val="both"/>
              <w:rPr>
                <w:rFonts w:ascii="Arial" w:hAnsi="Arial" w:cs="Arial"/>
                <w:color w:val="000000"/>
                <w:sz w:val="22"/>
                <w:szCs w:val="22"/>
                <w:lang w:eastAsia="en-GB"/>
              </w:rPr>
            </w:pPr>
            <w:r w:rsidRPr="00EE07EC">
              <w:rPr>
                <w:rFonts w:ascii="Arial" w:hAnsi="Arial" w:cs="Arial"/>
                <w:color w:val="000000"/>
                <w:sz w:val="22"/>
                <w:szCs w:val="22"/>
                <w:lang w:eastAsia="en-GB"/>
              </w:rPr>
              <w:t>Transition from children's to adult services.</w:t>
            </w:r>
          </w:p>
        </w:tc>
        <w:tc>
          <w:tcPr>
            <w:tcW w:w="1444" w:type="dxa"/>
          </w:tcPr>
          <w:p w:rsidR="009109F5" w:rsidRPr="00EE07EC" w:rsidRDefault="00E30154" w:rsidP="00F95566">
            <w:pPr>
              <w:pStyle w:val="ListParagraph"/>
              <w:spacing w:before="60" w:after="60" w:line="240" w:lineRule="auto"/>
              <w:ind w:left="0"/>
              <w:jc w:val="both"/>
              <w:rPr>
                <w:rFonts w:ascii="Arial" w:hAnsi="Arial" w:cs="Arial"/>
                <w:sz w:val="22"/>
                <w:szCs w:val="22"/>
              </w:rPr>
            </w:pPr>
            <w:r w:rsidRPr="00EE07EC">
              <w:rPr>
                <w:rFonts w:ascii="Arial" w:hAnsi="Arial" w:cs="Arial"/>
                <w:sz w:val="22"/>
                <w:szCs w:val="22"/>
              </w:rPr>
              <w:t>Limited</w:t>
            </w:r>
          </w:p>
        </w:tc>
      </w:tr>
      <w:tr w:rsidR="00277CB8" w:rsidTr="004E5A0A">
        <w:tc>
          <w:tcPr>
            <w:tcW w:w="8636" w:type="dxa"/>
            <w:gridSpan w:val="2"/>
          </w:tcPr>
          <w:p w:rsidR="004E5A0A" w:rsidRPr="00EE07EC" w:rsidRDefault="00E30154" w:rsidP="00F95566">
            <w:pPr>
              <w:pStyle w:val="ListParagraph"/>
              <w:spacing w:before="60" w:after="60" w:line="240" w:lineRule="auto"/>
              <w:ind w:left="0"/>
              <w:jc w:val="both"/>
              <w:rPr>
                <w:rFonts w:ascii="Arial" w:hAnsi="Arial" w:cs="Arial"/>
                <w:sz w:val="22"/>
                <w:szCs w:val="22"/>
              </w:rPr>
            </w:pPr>
            <w:r w:rsidRPr="00EE07EC">
              <w:rPr>
                <w:rFonts w:ascii="Arial" w:hAnsi="Arial" w:cs="Arial"/>
                <w:b/>
                <w:bCs/>
                <w:color w:val="000000"/>
                <w:sz w:val="22"/>
                <w:szCs w:val="22"/>
                <w:lang w:eastAsia="en-GB"/>
              </w:rPr>
              <w:t>Service delivery: community services</w:t>
            </w:r>
          </w:p>
        </w:tc>
      </w:tr>
      <w:tr w:rsidR="00277CB8" w:rsidTr="004E5A0A">
        <w:tc>
          <w:tcPr>
            <w:tcW w:w="7192" w:type="dxa"/>
          </w:tcPr>
          <w:p w:rsidR="004E5A0A" w:rsidRPr="00EE07EC" w:rsidRDefault="00E30154" w:rsidP="00F95566">
            <w:pPr>
              <w:pStyle w:val="ListParagraph"/>
              <w:spacing w:before="60" w:after="60" w:line="240" w:lineRule="auto"/>
              <w:ind w:left="0"/>
              <w:jc w:val="both"/>
              <w:rPr>
                <w:rFonts w:ascii="Arial" w:hAnsi="Arial" w:cs="Arial"/>
                <w:sz w:val="22"/>
                <w:szCs w:val="22"/>
                <w:lang w:eastAsia="en-GB"/>
              </w:rPr>
            </w:pPr>
            <w:r w:rsidRPr="00EE07EC">
              <w:rPr>
                <w:rFonts w:ascii="Arial" w:hAnsi="Arial" w:cs="Arial"/>
                <w:sz w:val="22"/>
                <w:szCs w:val="22"/>
                <w:lang w:eastAsia="en-GB"/>
              </w:rPr>
              <w:t>Safeguarding in the provision of transport for children.</w:t>
            </w:r>
          </w:p>
        </w:tc>
        <w:tc>
          <w:tcPr>
            <w:tcW w:w="1444" w:type="dxa"/>
          </w:tcPr>
          <w:p w:rsidR="004E5A0A" w:rsidRPr="00EE07EC" w:rsidRDefault="00E30154" w:rsidP="00F95566">
            <w:pPr>
              <w:pStyle w:val="ListParagraph"/>
              <w:spacing w:before="60" w:after="60" w:line="240" w:lineRule="auto"/>
              <w:ind w:left="0"/>
              <w:jc w:val="both"/>
              <w:rPr>
                <w:rFonts w:ascii="Arial" w:hAnsi="Arial" w:cs="Arial"/>
                <w:sz w:val="22"/>
                <w:szCs w:val="22"/>
              </w:rPr>
            </w:pPr>
            <w:r w:rsidRPr="00EE07EC">
              <w:rPr>
                <w:rFonts w:ascii="Arial" w:hAnsi="Arial" w:cs="Arial"/>
                <w:sz w:val="22"/>
                <w:szCs w:val="22"/>
              </w:rPr>
              <w:t>Substantial</w:t>
            </w:r>
          </w:p>
        </w:tc>
      </w:tr>
      <w:tr w:rsidR="00277CB8" w:rsidTr="004E5A0A">
        <w:tc>
          <w:tcPr>
            <w:tcW w:w="7192" w:type="dxa"/>
          </w:tcPr>
          <w:p w:rsidR="004E5A0A" w:rsidRPr="00EE07EC" w:rsidRDefault="00E30154" w:rsidP="00F95566">
            <w:pPr>
              <w:pStyle w:val="ListParagraph"/>
              <w:spacing w:before="60" w:after="60" w:line="240" w:lineRule="auto"/>
              <w:ind w:left="0"/>
              <w:jc w:val="both"/>
              <w:rPr>
                <w:rFonts w:ascii="Arial" w:hAnsi="Arial" w:cs="Arial"/>
                <w:sz w:val="22"/>
                <w:szCs w:val="22"/>
                <w:lang w:eastAsia="en-GB"/>
              </w:rPr>
            </w:pPr>
            <w:r w:rsidRPr="00EE07EC">
              <w:rPr>
                <w:rFonts w:ascii="Arial" w:hAnsi="Arial" w:cs="Arial"/>
                <w:sz w:val="22"/>
                <w:szCs w:val="22"/>
                <w:lang w:eastAsia="en-GB"/>
              </w:rPr>
              <w:t>Operation of the Highways Asset Management System (HAMS).</w:t>
            </w:r>
          </w:p>
          <w:p w:rsidR="004E5A0A" w:rsidRPr="000F2366" w:rsidRDefault="00E30154" w:rsidP="00F95566">
            <w:pPr>
              <w:pStyle w:val="ListParagraph"/>
              <w:spacing w:before="60" w:after="60" w:line="240" w:lineRule="auto"/>
              <w:ind w:left="0"/>
              <w:jc w:val="both"/>
              <w:rPr>
                <w:rFonts w:ascii="Arial" w:hAnsi="Arial" w:cs="Arial"/>
                <w:lang w:eastAsia="en-GB"/>
              </w:rPr>
            </w:pPr>
            <w:r w:rsidRPr="000F2366">
              <w:rPr>
                <w:rFonts w:ascii="Arial" w:hAnsi="Arial" w:cs="Arial"/>
                <w:lang w:eastAsia="en-GB"/>
              </w:rPr>
              <w:t>(This audit addressed only the adequacy of the operational system's overall design and early operation, not its effectiveness.)</w:t>
            </w:r>
          </w:p>
        </w:tc>
        <w:tc>
          <w:tcPr>
            <w:tcW w:w="1444" w:type="dxa"/>
          </w:tcPr>
          <w:p w:rsidR="004E5A0A" w:rsidRPr="00EE07EC" w:rsidRDefault="00E30154" w:rsidP="00F95566">
            <w:pPr>
              <w:pStyle w:val="ListParagraph"/>
              <w:spacing w:before="60" w:after="60" w:line="240" w:lineRule="auto"/>
              <w:ind w:left="0"/>
              <w:jc w:val="both"/>
              <w:rPr>
                <w:rFonts w:ascii="Arial" w:hAnsi="Arial" w:cs="Arial"/>
                <w:sz w:val="22"/>
                <w:szCs w:val="22"/>
              </w:rPr>
            </w:pPr>
            <w:r w:rsidRPr="00EE07EC">
              <w:rPr>
                <w:rFonts w:ascii="Arial" w:hAnsi="Arial" w:cs="Arial"/>
                <w:sz w:val="22"/>
                <w:szCs w:val="22"/>
              </w:rPr>
              <w:t>Limited</w:t>
            </w:r>
          </w:p>
        </w:tc>
      </w:tr>
      <w:tr w:rsidR="00277CB8" w:rsidTr="004E5A0A">
        <w:tc>
          <w:tcPr>
            <w:tcW w:w="7192" w:type="dxa"/>
          </w:tcPr>
          <w:p w:rsidR="004E5A0A" w:rsidRPr="00EE07EC" w:rsidRDefault="00E30154" w:rsidP="00F95566">
            <w:pPr>
              <w:pStyle w:val="ListParagraph"/>
              <w:spacing w:before="60" w:after="60" w:line="240" w:lineRule="auto"/>
              <w:ind w:left="0"/>
              <w:jc w:val="both"/>
              <w:rPr>
                <w:rFonts w:ascii="Arial" w:hAnsi="Arial" w:cs="Arial"/>
                <w:sz w:val="22"/>
                <w:szCs w:val="22"/>
                <w:lang w:eastAsia="en-GB"/>
              </w:rPr>
            </w:pPr>
            <w:r w:rsidRPr="00EE07EC">
              <w:rPr>
                <w:rFonts w:ascii="Arial" w:hAnsi="Arial" w:cs="Arial"/>
                <w:sz w:val="22"/>
                <w:szCs w:val="22"/>
                <w:lang w:eastAsia="en-GB"/>
              </w:rPr>
              <w:t>Registrar's income.</w:t>
            </w:r>
          </w:p>
        </w:tc>
        <w:tc>
          <w:tcPr>
            <w:tcW w:w="1444" w:type="dxa"/>
          </w:tcPr>
          <w:p w:rsidR="004E5A0A" w:rsidRPr="00EE07EC" w:rsidRDefault="00E30154" w:rsidP="00F95566">
            <w:pPr>
              <w:pStyle w:val="ListParagraph"/>
              <w:spacing w:before="60" w:after="60" w:line="240" w:lineRule="auto"/>
              <w:ind w:left="0"/>
              <w:jc w:val="both"/>
              <w:rPr>
                <w:rFonts w:ascii="Arial" w:hAnsi="Arial" w:cs="Arial"/>
                <w:sz w:val="22"/>
                <w:szCs w:val="22"/>
              </w:rPr>
            </w:pPr>
            <w:r w:rsidRPr="00EE07EC">
              <w:rPr>
                <w:rFonts w:ascii="Arial" w:hAnsi="Arial" w:cs="Arial"/>
                <w:sz w:val="22"/>
                <w:szCs w:val="22"/>
              </w:rPr>
              <w:t>Substantial</w:t>
            </w:r>
          </w:p>
        </w:tc>
      </w:tr>
      <w:tr w:rsidR="00277CB8" w:rsidTr="004E5A0A">
        <w:tc>
          <w:tcPr>
            <w:tcW w:w="7192" w:type="dxa"/>
          </w:tcPr>
          <w:p w:rsidR="004E5A0A" w:rsidRPr="00EE07EC" w:rsidRDefault="00E30154" w:rsidP="00F95566">
            <w:pPr>
              <w:pStyle w:val="ListParagraph"/>
              <w:spacing w:before="60" w:after="60" w:line="240" w:lineRule="auto"/>
              <w:ind w:left="0"/>
              <w:jc w:val="both"/>
              <w:rPr>
                <w:rFonts w:ascii="Arial" w:hAnsi="Arial" w:cs="Arial"/>
                <w:sz w:val="22"/>
                <w:szCs w:val="22"/>
                <w:lang w:eastAsia="en-GB"/>
              </w:rPr>
            </w:pPr>
            <w:r w:rsidRPr="00EE07EC">
              <w:rPr>
                <w:rFonts w:ascii="Arial" w:hAnsi="Arial" w:cs="Arial"/>
                <w:b/>
                <w:bCs/>
                <w:color w:val="000000"/>
                <w:sz w:val="22"/>
                <w:szCs w:val="22"/>
                <w:lang w:eastAsia="en-GB"/>
              </w:rPr>
              <w:t>Service delivery: Customer Access Service</w:t>
            </w:r>
          </w:p>
        </w:tc>
        <w:tc>
          <w:tcPr>
            <w:tcW w:w="1444" w:type="dxa"/>
          </w:tcPr>
          <w:p w:rsidR="004E5A0A" w:rsidRPr="00EE07EC" w:rsidRDefault="00BB583A" w:rsidP="00F95566">
            <w:pPr>
              <w:pStyle w:val="ListParagraph"/>
              <w:spacing w:before="60" w:after="60" w:line="240" w:lineRule="auto"/>
              <w:ind w:left="0"/>
              <w:jc w:val="both"/>
              <w:rPr>
                <w:rFonts w:ascii="Arial" w:hAnsi="Arial" w:cs="Arial"/>
                <w:sz w:val="22"/>
                <w:szCs w:val="22"/>
              </w:rPr>
            </w:pPr>
          </w:p>
        </w:tc>
      </w:tr>
      <w:tr w:rsidR="00277CB8" w:rsidTr="004E5A0A">
        <w:tc>
          <w:tcPr>
            <w:tcW w:w="7192" w:type="dxa"/>
          </w:tcPr>
          <w:p w:rsidR="004E5A0A" w:rsidRPr="00EE07EC" w:rsidRDefault="00E30154" w:rsidP="00F95566">
            <w:pPr>
              <w:pStyle w:val="ListParagraph"/>
              <w:spacing w:before="60" w:after="60" w:line="240" w:lineRule="auto"/>
              <w:ind w:left="0"/>
              <w:jc w:val="both"/>
              <w:rPr>
                <w:rFonts w:ascii="Arial" w:hAnsi="Arial" w:cs="Arial"/>
                <w:sz w:val="22"/>
                <w:szCs w:val="22"/>
                <w:lang w:eastAsia="en-GB"/>
              </w:rPr>
            </w:pPr>
            <w:r w:rsidRPr="00EE07EC">
              <w:rPr>
                <w:rFonts w:ascii="Arial" w:hAnsi="Arial" w:cs="Arial"/>
                <w:color w:val="000000"/>
                <w:sz w:val="22"/>
                <w:szCs w:val="22"/>
                <w:lang w:eastAsia="en-GB"/>
              </w:rPr>
              <w:t>Customer Access Service management assurance processes.</w:t>
            </w:r>
          </w:p>
        </w:tc>
        <w:tc>
          <w:tcPr>
            <w:tcW w:w="1444" w:type="dxa"/>
          </w:tcPr>
          <w:p w:rsidR="004E5A0A" w:rsidRPr="00EE07EC" w:rsidRDefault="00E30154" w:rsidP="00F95566">
            <w:pPr>
              <w:pStyle w:val="ListParagraph"/>
              <w:spacing w:before="60" w:after="60" w:line="240" w:lineRule="auto"/>
              <w:ind w:left="0"/>
              <w:jc w:val="both"/>
              <w:rPr>
                <w:rFonts w:ascii="Arial" w:hAnsi="Arial" w:cs="Arial"/>
                <w:sz w:val="22"/>
                <w:szCs w:val="22"/>
              </w:rPr>
            </w:pPr>
            <w:r w:rsidRPr="00EE07EC">
              <w:rPr>
                <w:rFonts w:ascii="Arial" w:hAnsi="Arial" w:cs="Arial"/>
                <w:sz w:val="22"/>
                <w:szCs w:val="22"/>
              </w:rPr>
              <w:t>Substantial</w:t>
            </w:r>
          </w:p>
        </w:tc>
      </w:tr>
      <w:tr w:rsidR="00277CB8" w:rsidTr="004E5A0A">
        <w:tc>
          <w:tcPr>
            <w:tcW w:w="7192" w:type="dxa"/>
          </w:tcPr>
          <w:p w:rsidR="004E5A0A" w:rsidRPr="00EE07EC" w:rsidRDefault="00E30154" w:rsidP="00F95566">
            <w:pPr>
              <w:pStyle w:val="ListParagraph"/>
              <w:spacing w:before="60" w:after="60" w:line="240" w:lineRule="auto"/>
              <w:ind w:left="0"/>
              <w:jc w:val="both"/>
              <w:rPr>
                <w:rFonts w:ascii="Arial" w:hAnsi="Arial" w:cs="Arial"/>
                <w:color w:val="000000"/>
                <w:sz w:val="22"/>
                <w:szCs w:val="22"/>
                <w:lang w:eastAsia="en-GB"/>
              </w:rPr>
            </w:pPr>
            <w:r w:rsidRPr="00EE07EC">
              <w:rPr>
                <w:rFonts w:ascii="Arial" w:hAnsi="Arial" w:cs="Arial"/>
                <w:color w:val="000000"/>
                <w:sz w:val="22"/>
                <w:szCs w:val="22"/>
                <w:lang w:eastAsia="en-GB"/>
              </w:rPr>
              <w:t>Blue badge</w:t>
            </w:r>
            <w:r>
              <w:rPr>
                <w:rFonts w:ascii="Arial" w:hAnsi="Arial" w:cs="Arial"/>
                <w:color w:val="000000"/>
                <w:sz w:val="22"/>
                <w:szCs w:val="22"/>
                <w:lang w:eastAsia="en-GB"/>
              </w:rPr>
              <w:t xml:space="preserve"> application</w:t>
            </w:r>
            <w:r w:rsidRPr="00EE07EC">
              <w:rPr>
                <w:rFonts w:ascii="Arial" w:hAnsi="Arial" w:cs="Arial"/>
                <w:color w:val="000000"/>
                <w:sz w:val="22"/>
                <w:szCs w:val="22"/>
                <w:lang w:eastAsia="en-GB"/>
              </w:rPr>
              <w:t>s.</w:t>
            </w:r>
          </w:p>
        </w:tc>
        <w:tc>
          <w:tcPr>
            <w:tcW w:w="1444" w:type="dxa"/>
          </w:tcPr>
          <w:p w:rsidR="004E5A0A" w:rsidRPr="00EE07EC" w:rsidRDefault="00E30154" w:rsidP="00F95566">
            <w:pPr>
              <w:pStyle w:val="ListParagraph"/>
              <w:spacing w:before="60" w:after="60" w:line="240" w:lineRule="auto"/>
              <w:ind w:left="0"/>
              <w:jc w:val="both"/>
              <w:rPr>
                <w:rFonts w:ascii="Arial" w:hAnsi="Arial" w:cs="Arial"/>
                <w:sz w:val="22"/>
                <w:szCs w:val="22"/>
              </w:rPr>
            </w:pPr>
            <w:r w:rsidRPr="00EE07EC">
              <w:rPr>
                <w:rFonts w:ascii="Arial" w:hAnsi="Arial" w:cs="Arial"/>
                <w:sz w:val="22"/>
                <w:szCs w:val="22"/>
              </w:rPr>
              <w:t>Substantial</w:t>
            </w:r>
          </w:p>
        </w:tc>
      </w:tr>
      <w:tr w:rsidR="00277CB8" w:rsidTr="004E5A0A">
        <w:tc>
          <w:tcPr>
            <w:tcW w:w="7192" w:type="dxa"/>
          </w:tcPr>
          <w:p w:rsidR="004E5A0A" w:rsidRPr="00EE07EC" w:rsidRDefault="00E30154" w:rsidP="00F95566">
            <w:pPr>
              <w:pStyle w:val="ListParagraph"/>
              <w:spacing w:before="60" w:after="60" w:line="240" w:lineRule="auto"/>
              <w:ind w:left="0"/>
              <w:jc w:val="both"/>
              <w:rPr>
                <w:rFonts w:ascii="Arial" w:hAnsi="Arial" w:cs="Arial"/>
                <w:color w:val="000000"/>
                <w:sz w:val="22"/>
                <w:szCs w:val="22"/>
                <w:lang w:eastAsia="en-GB"/>
              </w:rPr>
            </w:pPr>
            <w:r w:rsidRPr="00EE07EC">
              <w:rPr>
                <w:rFonts w:ascii="Arial" w:hAnsi="Arial" w:cs="Arial"/>
                <w:b/>
                <w:bCs/>
                <w:color w:val="000000"/>
                <w:sz w:val="22"/>
                <w:szCs w:val="22"/>
                <w:lang w:eastAsia="en-GB"/>
              </w:rPr>
              <w:t>Service delivery: public health and wellbeing</w:t>
            </w:r>
          </w:p>
        </w:tc>
        <w:tc>
          <w:tcPr>
            <w:tcW w:w="1444" w:type="dxa"/>
          </w:tcPr>
          <w:p w:rsidR="004E5A0A" w:rsidRPr="00EE07EC" w:rsidRDefault="00BB583A" w:rsidP="00F95566">
            <w:pPr>
              <w:pStyle w:val="ListParagraph"/>
              <w:spacing w:before="60" w:after="60" w:line="240" w:lineRule="auto"/>
              <w:ind w:left="0"/>
              <w:jc w:val="both"/>
              <w:rPr>
                <w:rFonts w:ascii="Arial" w:hAnsi="Arial" w:cs="Arial"/>
                <w:sz w:val="22"/>
                <w:szCs w:val="22"/>
              </w:rPr>
            </w:pPr>
          </w:p>
        </w:tc>
      </w:tr>
      <w:tr w:rsidR="00277CB8" w:rsidTr="004E5A0A">
        <w:tc>
          <w:tcPr>
            <w:tcW w:w="7192" w:type="dxa"/>
          </w:tcPr>
          <w:p w:rsidR="004E5A0A" w:rsidRPr="00EE07EC" w:rsidRDefault="00E30154" w:rsidP="00F95566">
            <w:pPr>
              <w:pStyle w:val="ListParagraph"/>
              <w:spacing w:before="60" w:after="60" w:line="240" w:lineRule="auto"/>
              <w:ind w:left="0"/>
              <w:jc w:val="both"/>
              <w:rPr>
                <w:rFonts w:ascii="Arial" w:hAnsi="Arial" w:cs="Arial"/>
                <w:color w:val="000000"/>
                <w:sz w:val="22"/>
                <w:szCs w:val="22"/>
                <w:lang w:eastAsia="en-GB"/>
              </w:rPr>
            </w:pPr>
            <w:r w:rsidRPr="00EE07EC">
              <w:rPr>
                <w:rFonts w:ascii="Arial" w:hAnsi="Arial" w:cs="Arial"/>
                <w:color w:val="000000"/>
                <w:sz w:val="22"/>
                <w:szCs w:val="22"/>
                <w:lang w:eastAsia="en-GB"/>
              </w:rPr>
              <w:t>Making Safeguarding Personal.</w:t>
            </w:r>
          </w:p>
        </w:tc>
        <w:tc>
          <w:tcPr>
            <w:tcW w:w="1444" w:type="dxa"/>
          </w:tcPr>
          <w:p w:rsidR="004E5A0A" w:rsidRPr="00EE07EC" w:rsidRDefault="00E30154" w:rsidP="00F95566">
            <w:pPr>
              <w:pStyle w:val="ListParagraph"/>
              <w:spacing w:before="60" w:after="60" w:line="240" w:lineRule="auto"/>
              <w:ind w:left="0"/>
              <w:jc w:val="both"/>
              <w:rPr>
                <w:rFonts w:ascii="Arial" w:hAnsi="Arial" w:cs="Arial"/>
                <w:sz w:val="22"/>
                <w:szCs w:val="22"/>
              </w:rPr>
            </w:pPr>
            <w:r w:rsidRPr="00EE07EC">
              <w:rPr>
                <w:rFonts w:ascii="Arial" w:hAnsi="Arial" w:cs="Arial"/>
                <w:sz w:val="22"/>
                <w:szCs w:val="22"/>
              </w:rPr>
              <w:t>Limited</w:t>
            </w:r>
          </w:p>
        </w:tc>
      </w:tr>
      <w:tr w:rsidR="00277CB8" w:rsidTr="004E5A0A">
        <w:tc>
          <w:tcPr>
            <w:tcW w:w="8636" w:type="dxa"/>
            <w:gridSpan w:val="2"/>
            <w:tcBorders>
              <w:top w:val="nil"/>
            </w:tcBorders>
          </w:tcPr>
          <w:p w:rsidR="004E5A0A" w:rsidRPr="00EE07EC" w:rsidRDefault="00E30154" w:rsidP="00F95566">
            <w:pPr>
              <w:pStyle w:val="ListParagraph"/>
              <w:spacing w:before="60" w:after="60" w:line="240" w:lineRule="auto"/>
              <w:ind w:left="0"/>
              <w:jc w:val="both"/>
              <w:rPr>
                <w:rFonts w:ascii="Arial" w:hAnsi="Arial" w:cs="Arial"/>
                <w:sz w:val="22"/>
                <w:szCs w:val="22"/>
              </w:rPr>
            </w:pPr>
            <w:r w:rsidRPr="00EE07EC">
              <w:rPr>
                <w:rFonts w:ascii="Arial" w:hAnsi="Arial" w:cs="Arial"/>
                <w:b/>
                <w:bCs/>
                <w:color w:val="000000"/>
                <w:sz w:val="22"/>
                <w:szCs w:val="22"/>
                <w:lang w:eastAsia="en-GB"/>
              </w:rPr>
              <w:t>Service delivery: schools' financial management</w:t>
            </w:r>
          </w:p>
        </w:tc>
      </w:tr>
      <w:tr w:rsidR="00277CB8" w:rsidTr="004E5A0A">
        <w:tc>
          <w:tcPr>
            <w:tcW w:w="7192" w:type="dxa"/>
          </w:tcPr>
          <w:p w:rsidR="004E5A0A" w:rsidRPr="00EE07EC" w:rsidRDefault="00E30154" w:rsidP="00F95566">
            <w:pPr>
              <w:pStyle w:val="ListParagraph"/>
              <w:spacing w:before="60" w:after="60" w:line="240" w:lineRule="auto"/>
              <w:ind w:left="0"/>
              <w:jc w:val="both"/>
              <w:rPr>
                <w:rFonts w:ascii="Arial" w:hAnsi="Arial" w:cs="Arial"/>
                <w:color w:val="000000"/>
                <w:sz w:val="22"/>
                <w:szCs w:val="22"/>
                <w:lang w:eastAsia="en-GB"/>
              </w:rPr>
            </w:pPr>
            <w:r w:rsidRPr="00EE07EC">
              <w:rPr>
                <w:rFonts w:ascii="Arial" w:hAnsi="Arial" w:cs="Arial"/>
                <w:color w:val="000000"/>
                <w:sz w:val="22"/>
                <w:szCs w:val="22"/>
                <w:lang w:eastAsia="en-GB"/>
              </w:rPr>
              <w:t>Review of a sample of Schools Financial Value Standard (SFVS) self-assessments submitted by schools for 2016/17.</w:t>
            </w:r>
          </w:p>
        </w:tc>
        <w:tc>
          <w:tcPr>
            <w:tcW w:w="1444" w:type="dxa"/>
          </w:tcPr>
          <w:p w:rsidR="004E5A0A" w:rsidRPr="00EE07EC" w:rsidRDefault="00E30154" w:rsidP="00F95566">
            <w:pPr>
              <w:pStyle w:val="ListParagraph"/>
              <w:spacing w:before="60" w:after="60" w:line="240" w:lineRule="auto"/>
              <w:ind w:left="0"/>
              <w:jc w:val="both"/>
              <w:rPr>
                <w:rFonts w:ascii="Arial" w:hAnsi="Arial" w:cs="Arial"/>
                <w:sz w:val="22"/>
                <w:szCs w:val="22"/>
              </w:rPr>
            </w:pPr>
            <w:r w:rsidRPr="00EE07EC">
              <w:rPr>
                <w:rFonts w:ascii="Arial" w:hAnsi="Arial" w:cs="Arial"/>
                <w:sz w:val="22"/>
                <w:szCs w:val="22"/>
              </w:rPr>
              <w:t>Substantial</w:t>
            </w:r>
          </w:p>
        </w:tc>
      </w:tr>
      <w:tr w:rsidR="00277CB8" w:rsidTr="004E5A0A">
        <w:tc>
          <w:tcPr>
            <w:tcW w:w="7192" w:type="dxa"/>
          </w:tcPr>
          <w:p w:rsidR="00A35C34" w:rsidRPr="00EE07EC" w:rsidRDefault="00E30154" w:rsidP="00F95566">
            <w:pPr>
              <w:pStyle w:val="ListParagraph"/>
              <w:spacing w:before="60" w:after="60" w:line="240" w:lineRule="auto"/>
              <w:ind w:left="0"/>
              <w:jc w:val="both"/>
              <w:rPr>
                <w:rFonts w:ascii="Arial" w:hAnsi="Arial" w:cs="Arial"/>
                <w:color w:val="000000"/>
                <w:sz w:val="22"/>
                <w:szCs w:val="22"/>
                <w:lang w:eastAsia="en-GB"/>
              </w:rPr>
            </w:pPr>
            <w:r w:rsidRPr="00EE07EC">
              <w:rPr>
                <w:rFonts w:ascii="Arial" w:hAnsi="Arial" w:cs="Arial"/>
                <w:b/>
                <w:bCs/>
                <w:color w:val="000000"/>
                <w:sz w:val="22"/>
                <w:szCs w:val="22"/>
                <w:lang w:eastAsia="en-GB"/>
              </w:rPr>
              <w:t>Service delivery:</w:t>
            </w:r>
            <w:r>
              <w:rPr>
                <w:rFonts w:ascii="Arial" w:hAnsi="Arial" w:cs="Arial"/>
                <w:b/>
                <w:bCs/>
                <w:color w:val="000000"/>
                <w:sz w:val="22"/>
                <w:szCs w:val="22"/>
                <w:lang w:eastAsia="en-GB"/>
              </w:rPr>
              <w:t xml:space="preserve"> corporate commissioning</w:t>
            </w:r>
          </w:p>
        </w:tc>
        <w:tc>
          <w:tcPr>
            <w:tcW w:w="1444" w:type="dxa"/>
          </w:tcPr>
          <w:p w:rsidR="00A35C34" w:rsidRPr="00EE07EC" w:rsidRDefault="00BB583A" w:rsidP="00F95566">
            <w:pPr>
              <w:pStyle w:val="ListParagraph"/>
              <w:spacing w:before="60" w:after="60" w:line="240" w:lineRule="auto"/>
              <w:ind w:left="0"/>
              <w:jc w:val="both"/>
              <w:rPr>
                <w:rFonts w:ascii="Arial" w:hAnsi="Arial" w:cs="Arial"/>
                <w:sz w:val="22"/>
                <w:szCs w:val="22"/>
              </w:rPr>
            </w:pPr>
          </w:p>
        </w:tc>
      </w:tr>
      <w:tr w:rsidR="00277CB8" w:rsidTr="004E5A0A">
        <w:tc>
          <w:tcPr>
            <w:tcW w:w="7192" w:type="dxa"/>
          </w:tcPr>
          <w:p w:rsidR="00A35C34" w:rsidRPr="00EE07EC" w:rsidRDefault="00E30154" w:rsidP="00F95566">
            <w:pPr>
              <w:pStyle w:val="ListParagraph"/>
              <w:spacing w:before="60" w:after="60" w:line="240" w:lineRule="auto"/>
              <w:ind w:left="0"/>
              <w:jc w:val="both"/>
              <w:rPr>
                <w:rFonts w:ascii="Arial" w:hAnsi="Arial" w:cs="Arial"/>
                <w:color w:val="000000"/>
                <w:sz w:val="22"/>
                <w:szCs w:val="22"/>
                <w:lang w:eastAsia="en-GB"/>
              </w:rPr>
            </w:pPr>
            <w:r w:rsidRPr="00A35C34">
              <w:rPr>
                <w:rFonts w:ascii="Arial" w:hAnsi="Arial" w:cs="Arial"/>
                <w:color w:val="000000"/>
                <w:sz w:val="22"/>
                <w:szCs w:val="22"/>
                <w:lang w:eastAsia="en-GB"/>
              </w:rPr>
              <w:t>Health and safety of the council's properties.</w:t>
            </w:r>
            <w:r>
              <w:rPr>
                <w:rFonts w:ascii="Arial" w:hAnsi="Arial" w:cs="Arial"/>
                <w:color w:val="000000"/>
                <w:sz w:val="22"/>
                <w:szCs w:val="22"/>
                <w:lang w:eastAsia="en-GB"/>
              </w:rPr>
              <w:t xml:space="preserve"> </w:t>
            </w:r>
            <w:r w:rsidRPr="000F2366">
              <w:rPr>
                <w:rFonts w:ascii="Arial" w:hAnsi="Arial" w:cs="Arial"/>
                <w:lang w:eastAsia="en-GB"/>
              </w:rPr>
              <w:t>(This audit addressed only the adequacy of the operational system's overall design, not its effectiveness.)</w:t>
            </w:r>
          </w:p>
        </w:tc>
        <w:tc>
          <w:tcPr>
            <w:tcW w:w="1444" w:type="dxa"/>
          </w:tcPr>
          <w:p w:rsidR="00A35C34" w:rsidRPr="00EE07EC" w:rsidRDefault="00E30154" w:rsidP="00F95566">
            <w:pPr>
              <w:pStyle w:val="ListParagraph"/>
              <w:spacing w:before="60" w:after="60" w:line="240" w:lineRule="auto"/>
              <w:ind w:left="0"/>
              <w:jc w:val="both"/>
              <w:rPr>
                <w:rFonts w:ascii="Arial" w:hAnsi="Arial" w:cs="Arial"/>
                <w:sz w:val="22"/>
                <w:szCs w:val="22"/>
              </w:rPr>
            </w:pPr>
            <w:r>
              <w:rPr>
                <w:rFonts w:ascii="Arial" w:hAnsi="Arial" w:cs="Arial"/>
                <w:sz w:val="22"/>
                <w:szCs w:val="22"/>
              </w:rPr>
              <w:t>Limited</w:t>
            </w:r>
          </w:p>
        </w:tc>
      </w:tr>
      <w:tr w:rsidR="00277CB8" w:rsidTr="004E5A0A">
        <w:tc>
          <w:tcPr>
            <w:tcW w:w="7192" w:type="dxa"/>
          </w:tcPr>
          <w:p w:rsidR="004E5A0A" w:rsidRPr="00EE07EC" w:rsidRDefault="00E30154" w:rsidP="00F95566">
            <w:pPr>
              <w:pStyle w:val="ListParagraph"/>
              <w:spacing w:before="60" w:after="60" w:line="240" w:lineRule="auto"/>
              <w:ind w:left="0"/>
              <w:jc w:val="both"/>
              <w:rPr>
                <w:rFonts w:ascii="Arial" w:hAnsi="Arial" w:cs="Arial"/>
                <w:b/>
                <w:color w:val="000000"/>
                <w:sz w:val="22"/>
                <w:szCs w:val="22"/>
                <w:lang w:eastAsia="en-GB"/>
              </w:rPr>
            </w:pPr>
            <w:r w:rsidRPr="00EE07EC">
              <w:rPr>
                <w:rFonts w:ascii="Arial" w:hAnsi="Arial" w:cs="Arial"/>
                <w:b/>
                <w:color w:val="000000"/>
                <w:sz w:val="22"/>
                <w:szCs w:val="22"/>
                <w:lang w:eastAsia="en-GB"/>
              </w:rPr>
              <w:t>Business processes</w:t>
            </w:r>
          </w:p>
        </w:tc>
        <w:tc>
          <w:tcPr>
            <w:tcW w:w="1444" w:type="dxa"/>
          </w:tcPr>
          <w:p w:rsidR="004E5A0A" w:rsidRPr="00EE07EC" w:rsidRDefault="00BB583A" w:rsidP="00F95566">
            <w:pPr>
              <w:pStyle w:val="ListParagraph"/>
              <w:spacing w:before="60" w:after="60" w:line="240" w:lineRule="auto"/>
              <w:ind w:left="0"/>
              <w:jc w:val="both"/>
              <w:rPr>
                <w:rFonts w:ascii="Arial" w:hAnsi="Arial" w:cs="Arial"/>
                <w:sz w:val="22"/>
                <w:szCs w:val="22"/>
              </w:rPr>
            </w:pPr>
          </w:p>
        </w:tc>
      </w:tr>
      <w:tr w:rsidR="00277CB8" w:rsidTr="004E5A0A">
        <w:tc>
          <w:tcPr>
            <w:tcW w:w="7192" w:type="dxa"/>
          </w:tcPr>
          <w:p w:rsidR="000E25BE" w:rsidRPr="00EE07EC" w:rsidRDefault="00E30154" w:rsidP="00F95566">
            <w:pPr>
              <w:pStyle w:val="ListParagraph"/>
              <w:spacing w:before="60" w:after="60" w:line="240" w:lineRule="auto"/>
              <w:ind w:left="0"/>
              <w:jc w:val="both"/>
              <w:rPr>
                <w:rFonts w:ascii="Arial" w:hAnsi="Arial" w:cs="Arial"/>
                <w:color w:val="000000"/>
                <w:sz w:val="22"/>
                <w:szCs w:val="22"/>
                <w:lang w:eastAsia="en-GB"/>
              </w:rPr>
            </w:pPr>
            <w:r w:rsidRPr="00EE07EC">
              <w:rPr>
                <w:rFonts w:ascii="Arial" w:hAnsi="Arial" w:cs="Arial"/>
                <w:color w:val="000000"/>
                <w:sz w:val="22"/>
                <w:szCs w:val="22"/>
                <w:lang w:eastAsia="en-GB"/>
              </w:rPr>
              <w:t>Accounts payable: central controls.</w:t>
            </w:r>
          </w:p>
        </w:tc>
        <w:tc>
          <w:tcPr>
            <w:tcW w:w="1444" w:type="dxa"/>
          </w:tcPr>
          <w:p w:rsidR="000E25BE" w:rsidRPr="00EE07EC" w:rsidRDefault="00E30154" w:rsidP="00F95566">
            <w:pPr>
              <w:pStyle w:val="ListParagraph"/>
              <w:spacing w:before="60" w:after="60" w:line="240" w:lineRule="auto"/>
              <w:ind w:left="0"/>
              <w:jc w:val="both"/>
              <w:rPr>
                <w:rFonts w:ascii="Arial" w:hAnsi="Arial" w:cs="Arial"/>
                <w:sz w:val="22"/>
                <w:szCs w:val="22"/>
              </w:rPr>
            </w:pPr>
            <w:r w:rsidRPr="00EE07EC">
              <w:rPr>
                <w:rFonts w:ascii="Arial" w:hAnsi="Arial" w:cs="Arial"/>
                <w:sz w:val="22"/>
                <w:szCs w:val="22"/>
              </w:rPr>
              <w:t>Substantial</w:t>
            </w:r>
          </w:p>
        </w:tc>
      </w:tr>
      <w:tr w:rsidR="00277CB8" w:rsidTr="004E5A0A">
        <w:tc>
          <w:tcPr>
            <w:tcW w:w="7192" w:type="dxa"/>
          </w:tcPr>
          <w:p w:rsidR="004E5A0A" w:rsidRPr="00EE07EC" w:rsidRDefault="00E30154" w:rsidP="00F95566">
            <w:pPr>
              <w:pStyle w:val="ListParagraph"/>
              <w:spacing w:before="60" w:after="60" w:line="240" w:lineRule="auto"/>
              <w:ind w:left="0"/>
              <w:jc w:val="both"/>
              <w:rPr>
                <w:rFonts w:ascii="Arial" w:hAnsi="Arial" w:cs="Arial"/>
                <w:color w:val="000000"/>
                <w:sz w:val="22"/>
                <w:szCs w:val="22"/>
                <w:lang w:eastAsia="en-GB"/>
              </w:rPr>
            </w:pPr>
            <w:r w:rsidRPr="00EE07EC">
              <w:rPr>
                <w:rFonts w:ascii="Arial" w:hAnsi="Arial" w:cs="Arial"/>
                <w:color w:val="000000"/>
                <w:sz w:val="22"/>
                <w:szCs w:val="22"/>
                <w:lang w:eastAsia="en-GB"/>
              </w:rPr>
              <w:t>Accounts payable: service-based controls over payments – Caring and Responsive Transport (CART) payments to taxi operators.</w:t>
            </w:r>
          </w:p>
        </w:tc>
        <w:tc>
          <w:tcPr>
            <w:tcW w:w="1444" w:type="dxa"/>
          </w:tcPr>
          <w:p w:rsidR="004E5A0A" w:rsidRPr="00EE07EC" w:rsidRDefault="00E30154" w:rsidP="00F95566">
            <w:pPr>
              <w:pStyle w:val="ListParagraph"/>
              <w:spacing w:before="60" w:after="60" w:line="240" w:lineRule="auto"/>
              <w:ind w:left="0"/>
              <w:jc w:val="both"/>
              <w:rPr>
                <w:rFonts w:ascii="Arial" w:hAnsi="Arial" w:cs="Arial"/>
                <w:sz w:val="22"/>
                <w:szCs w:val="22"/>
              </w:rPr>
            </w:pPr>
            <w:r w:rsidRPr="00EE07EC">
              <w:rPr>
                <w:rFonts w:ascii="Arial" w:hAnsi="Arial" w:cs="Arial"/>
                <w:sz w:val="22"/>
                <w:szCs w:val="22"/>
              </w:rPr>
              <w:t>Substantial</w:t>
            </w:r>
          </w:p>
        </w:tc>
      </w:tr>
      <w:tr w:rsidR="00277CB8" w:rsidTr="004E5A0A">
        <w:tc>
          <w:tcPr>
            <w:tcW w:w="7192" w:type="dxa"/>
          </w:tcPr>
          <w:p w:rsidR="004E5A0A" w:rsidRPr="00EE07EC" w:rsidRDefault="00E30154" w:rsidP="00F95566">
            <w:pPr>
              <w:pStyle w:val="ListParagraph"/>
              <w:spacing w:before="60" w:after="60" w:line="240" w:lineRule="auto"/>
              <w:ind w:left="0"/>
              <w:jc w:val="both"/>
              <w:rPr>
                <w:rFonts w:ascii="Arial" w:hAnsi="Arial" w:cs="Arial"/>
                <w:color w:val="000000"/>
                <w:sz w:val="22"/>
                <w:szCs w:val="22"/>
                <w:lang w:eastAsia="en-GB"/>
              </w:rPr>
            </w:pPr>
            <w:r w:rsidRPr="00EE07EC">
              <w:rPr>
                <w:rFonts w:ascii="Arial" w:hAnsi="Arial" w:cs="Arial"/>
                <w:color w:val="000000"/>
                <w:sz w:val="22"/>
                <w:szCs w:val="22"/>
                <w:lang w:eastAsia="en-GB"/>
              </w:rPr>
              <w:t>Accounts payable: service-based controls over payments – Repair and Maintenance Programme (RAMP) system payments.</w:t>
            </w:r>
          </w:p>
        </w:tc>
        <w:tc>
          <w:tcPr>
            <w:tcW w:w="1444" w:type="dxa"/>
          </w:tcPr>
          <w:p w:rsidR="004E5A0A" w:rsidRPr="00EE07EC" w:rsidRDefault="00E30154" w:rsidP="00F95566">
            <w:pPr>
              <w:pStyle w:val="ListParagraph"/>
              <w:spacing w:before="60" w:after="60" w:line="240" w:lineRule="auto"/>
              <w:ind w:left="0"/>
              <w:jc w:val="both"/>
              <w:rPr>
                <w:rFonts w:ascii="Arial" w:hAnsi="Arial" w:cs="Arial"/>
                <w:sz w:val="22"/>
                <w:szCs w:val="22"/>
              </w:rPr>
            </w:pPr>
            <w:r w:rsidRPr="00EE07EC">
              <w:rPr>
                <w:rFonts w:ascii="Arial" w:hAnsi="Arial" w:cs="Arial"/>
                <w:sz w:val="22"/>
                <w:szCs w:val="22"/>
              </w:rPr>
              <w:t>Limited</w:t>
            </w:r>
          </w:p>
        </w:tc>
      </w:tr>
      <w:tr w:rsidR="00277CB8" w:rsidTr="004E5A0A">
        <w:tc>
          <w:tcPr>
            <w:tcW w:w="7192" w:type="dxa"/>
          </w:tcPr>
          <w:p w:rsidR="004E5A0A" w:rsidRPr="00EE07EC" w:rsidRDefault="00E30154" w:rsidP="00F95566">
            <w:pPr>
              <w:pStyle w:val="ListParagraph"/>
              <w:spacing w:before="60" w:after="60" w:line="240" w:lineRule="auto"/>
              <w:ind w:left="0"/>
              <w:jc w:val="both"/>
              <w:rPr>
                <w:rFonts w:ascii="Arial" w:hAnsi="Arial" w:cs="Arial"/>
                <w:sz w:val="22"/>
                <w:szCs w:val="22"/>
                <w:lang w:eastAsia="en-GB"/>
              </w:rPr>
            </w:pPr>
            <w:r w:rsidRPr="00EE07EC">
              <w:rPr>
                <w:rFonts w:ascii="Arial" w:hAnsi="Arial" w:cs="Arial"/>
                <w:sz w:val="22"/>
                <w:szCs w:val="22"/>
                <w:lang w:eastAsia="en-GB"/>
              </w:rPr>
              <w:t>Accounts receivable: service-based controls over receipts – Repair and Maintenance Programme (RAMP) system receipts.</w:t>
            </w:r>
          </w:p>
        </w:tc>
        <w:tc>
          <w:tcPr>
            <w:tcW w:w="1444" w:type="dxa"/>
          </w:tcPr>
          <w:p w:rsidR="004E5A0A" w:rsidRPr="00EE07EC" w:rsidRDefault="00E30154" w:rsidP="00F95566">
            <w:pPr>
              <w:pStyle w:val="ListParagraph"/>
              <w:spacing w:before="60" w:after="60" w:line="240" w:lineRule="auto"/>
              <w:ind w:left="0"/>
              <w:jc w:val="both"/>
              <w:rPr>
                <w:rFonts w:ascii="Arial" w:hAnsi="Arial" w:cs="Arial"/>
                <w:sz w:val="22"/>
                <w:szCs w:val="22"/>
              </w:rPr>
            </w:pPr>
            <w:r w:rsidRPr="00EE07EC">
              <w:rPr>
                <w:rFonts w:ascii="Arial" w:hAnsi="Arial" w:cs="Arial"/>
                <w:sz w:val="22"/>
                <w:szCs w:val="22"/>
              </w:rPr>
              <w:t>Substantial</w:t>
            </w:r>
          </w:p>
        </w:tc>
      </w:tr>
      <w:tr w:rsidR="00277CB8" w:rsidTr="004E5A0A">
        <w:tc>
          <w:tcPr>
            <w:tcW w:w="7192" w:type="dxa"/>
          </w:tcPr>
          <w:p w:rsidR="004E5A0A" w:rsidRPr="00EE07EC" w:rsidRDefault="00E30154" w:rsidP="00F95566">
            <w:pPr>
              <w:pStyle w:val="ListParagraph"/>
              <w:spacing w:before="60" w:after="60" w:line="240" w:lineRule="auto"/>
              <w:ind w:left="0"/>
              <w:jc w:val="both"/>
              <w:rPr>
                <w:rFonts w:ascii="Arial" w:hAnsi="Arial" w:cs="Arial"/>
                <w:sz w:val="22"/>
                <w:szCs w:val="22"/>
                <w:lang w:eastAsia="en-GB"/>
              </w:rPr>
            </w:pPr>
            <w:r w:rsidRPr="00EE07EC">
              <w:rPr>
                <w:rFonts w:ascii="Arial" w:hAnsi="Arial" w:cs="Arial"/>
                <w:sz w:val="22"/>
                <w:szCs w:val="22"/>
                <w:lang w:eastAsia="en-GB"/>
              </w:rPr>
              <w:t>Accounts receivable and debt management: central controls.</w:t>
            </w:r>
          </w:p>
        </w:tc>
        <w:tc>
          <w:tcPr>
            <w:tcW w:w="1444" w:type="dxa"/>
          </w:tcPr>
          <w:p w:rsidR="004E5A0A" w:rsidRPr="00EE07EC" w:rsidRDefault="00E30154" w:rsidP="00F95566">
            <w:pPr>
              <w:pStyle w:val="ListParagraph"/>
              <w:spacing w:before="60" w:after="60" w:line="240" w:lineRule="auto"/>
              <w:ind w:left="0"/>
              <w:jc w:val="both"/>
              <w:rPr>
                <w:rFonts w:ascii="Arial" w:hAnsi="Arial" w:cs="Arial"/>
                <w:sz w:val="22"/>
                <w:szCs w:val="22"/>
              </w:rPr>
            </w:pPr>
            <w:r w:rsidRPr="00EE07EC">
              <w:rPr>
                <w:rFonts w:ascii="Arial" w:hAnsi="Arial" w:cs="Arial"/>
                <w:sz w:val="22"/>
                <w:szCs w:val="22"/>
              </w:rPr>
              <w:t>Substantial</w:t>
            </w:r>
          </w:p>
        </w:tc>
      </w:tr>
      <w:tr w:rsidR="00277CB8" w:rsidTr="004E5A0A">
        <w:tc>
          <w:tcPr>
            <w:tcW w:w="7192" w:type="dxa"/>
          </w:tcPr>
          <w:p w:rsidR="004E5A0A" w:rsidRPr="00EE07EC" w:rsidRDefault="00E30154" w:rsidP="00F95566">
            <w:pPr>
              <w:pStyle w:val="ListParagraph"/>
              <w:spacing w:before="60" w:after="60" w:line="240" w:lineRule="auto"/>
              <w:ind w:left="0"/>
              <w:jc w:val="both"/>
              <w:rPr>
                <w:rFonts w:ascii="Arial" w:hAnsi="Arial" w:cs="Arial"/>
                <w:sz w:val="22"/>
                <w:szCs w:val="22"/>
                <w:lang w:eastAsia="en-GB"/>
              </w:rPr>
            </w:pPr>
            <w:r w:rsidRPr="00EE07EC">
              <w:rPr>
                <w:rFonts w:ascii="Arial" w:hAnsi="Arial" w:cs="Arial"/>
                <w:sz w:val="22"/>
                <w:szCs w:val="22"/>
                <w:lang w:eastAsia="en-GB"/>
              </w:rPr>
              <w:t>Management information and budgetary control.</w:t>
            </w:r>
          </w:p>
        </w:tc>
        <w:tc>
          <w:tcPr>
            <w:tcW w:w="1444" w:type="dxa"/>
          </w:tcPr>
          <w:p w:rsidR="004E5A0A" w:rsidRPr="00EE07EC" w:rsidRDefault="00E30154" w:rsidP="00F95566">
            <w:pPr>
              <w:pStyle w:val="ListParagraph"/>
              <w:spacing w:before="60" w:after="60" w:line="240" w:lineRule="auto"/>
              <w:ind w:left="0"/>
              <w:jc w:val="both"/>
              <w:rPr>
                <w:rFonts w:ascii="Arial" w:hAnsi="Arial" w:cs="Arial"/>
                <w:sz w:val="22"/>
                <w:szCs w:val="22"/>
              </w:rPr>
            </w:pPr>
            <w:r w:rsidRPr="00EE07EC">
              <w:rPr>
                <w:rFonts w:ascii="Arial" w:hAnsi="Arial" w:cs="Arial"/>
                <w:sz w:val="22"/>
                <w:szCs w:val="22"/>
              </w:rPr>
              <w:t>Substantial</w:t>
            </w:r>
          </w:p>
        </w:tc>
      </w:tr>
      <w:tr w:rsidR="00277CB8" w:rsidTr="004E5A0A">
        <w:tc>
          <w:tcPr>
            <w:tcW w:w="7192" w:type="dxa"/>
          </w:tcPr>
          <w:p w:rsidR="00D330C9" w:rsidRPr="00EE07EC" w:rsidRDefault="00E30154" w:rsidP="00F95566">
            <w:pPr>
              <w:pStyle w:val="ListParagraph"/>
              <w:spacing w:before="60" w:after="60" w:line="240" w:lineRule="auto"/>
              <w:ind w:left="0"/>
              <w:jc w:val="both"/>
              <w:rPr>
                <w:rFonts w:ascii="Arial" w:hAnsi="Arial" w:cs="Arial"/>
                <w:sz w:val="22"/>
                <w:szCs w:val="22"/>
                <w:lang w:eastAsia="en-GB"/>
              </w:rPr>
            </w:pPr>
            <w:r w:rsidRPr="00EE07EC">
              <w:rPr>
                <w:rFonts w:ascii="Arial" w:hAnsi="Arial" w:cs="Arial"/>
                <w:sz w:val="22"/>
                <w:szCs w:val="22"/>
                <w:lang w:eastAsia="en-GB"/>
              </w:rPr>
              <w:t>Treasury management.</w:t>
            </w:r>
          </w:p>
        </w:tc>
        <w:tc>
          <w:tcPr>
            <w:tcW w:w="1444" w:type="dxa"/>
          </w:tcPr>
          <w:p w:rsidR="00D330C9" w:rsidRPr="00EE07EC" w:rsidRDefault="00E30154" w:rsidP="00F95566">
            <w:pPr>
              <w:pStyle w:val="ListParagraph"/>
              <w:spacing w:before="60" w:after="60" w:line="240" w:lineRule="auto"/>
              <w:ind w:left="0"/>
              <w:jc w:val="both"/>
              <w:rPr>
                <w:rFonts w:ascii="Arial" w:hAnsi="Arial" w:cs="Arial"/>
                <w:sz w:val="22"/>
                <w:szCs w:val="22"/>
              </w:rPr>
            </w:pPr>
            <w:r w:rsidRPr="00EE07EC">
              <w:rPr>
                <w:rFonts w:ascii="Arial" w:hAnsi="Arial" w:cs="Arial"/>
                <w:sz w:val="22"/>
                <w:szCs w:val="22"/>
              </w:rPr>
              <w:t>Substantial</w:t>
            </w:r>
          </w:p>
        </w:tc>
      </w:tr>
      <w:tr w:rsidR="00277CB8" w:rsidTr="004E5A0A">
        <w:tc>
          <w:tcPr>
            <w:tcW w:w="7192" w:type="dxa"/>
          </w:tcPr>
          <w:p w:rsidR="004E5A0A" w:rsidRPr="00EE07EC" w:rsidRDefault="00E30154" w:rsidP="00F95566">
            <w:pPr>
              <w:pStyle w:val="ListParagraph"/>
              <w:spacing w:before="60" w:after="60" w:line="240" w:lineRule="auto"/>
              <w:ind w:left="0"/>
              <w:jc w:val="both"/>
              <w:rPr>
                <w:rFonts w:ascii="Arial" w:hAnsi="Arial" w:cs="Arial"/>
                <w:color w:val="000000"/>
                <w:sz w:val="22"/>
                <w:szCs w:val="22"/>
                <w:lang w:eastAsia="en-GB"/>
              </w:rPr>
            </w:pPr>
            <w:r w:rsidRPr="00EE07EC">
              <w:rPr>
                <w:rFonts w:ascii="Arial" w:hAnsi="Arial" w:cs="Arial"/>
                <w:color w:val="000000"/>
                <w:sz w:val="22"/>
                <w:szCs w:val="22"/>
                <w:lang w:eastAsia="en-GB"/>
              </w:rPr>
              <w:t>Information governance.</w:t>
            </w:r>
          </w:p>
        </w:tc>
        <w:tc>
          <w:tcPr>
            <w:tcW w:w="1444" w:type="dxa"/>
          </w:tcPr>
          <w:p w:rsidR="004E5A0A" w:rsidRPr="00EE07EC" w:rsidRDefault="00E30154" w:rsidP="00F95566">
            <w:pPr>
              <w:pStyle w:val="ListParagraph"/>
              <w:spacing w:before="60" w:after="60" w:line="240" w:lineRule="auto"/>
              <w:ind w:left="0"/>
              <w:jc w:val="both"/>
              <w:rPr>
                <w:rFonts w:ascii="Arial" w:hAnsi="Arial" w:cs="Arial"/>
                <w:sz w:val="22"/>
                <w:szCs w:val="22"/>
              </w:rPr>
            </w:pPr>
            <w:r w:rsidRPr="00EE07EC">
              <w:rPr>
                <w:rFonts w:ascii="Arial" w:hAnsi="Arial" w:cs="Arial"/>
                <w:sz w:val="22"/>
                <w:szCs w:val="22"/>
              </w:rPr>
              <w:t>Substantial</w:t>
            </w:r>
          </w:p>
        </w:tc>
      </w:tr>
      <w:tr w:rsidR="00277CB8" w:rsidTr="004E5A0A">
        <w:tc>
          <w:tcPr>
            <w:tcW w:w="7192" w:type="dxa"/>
          </w:tcPr>
          <w:p w:rsidR="00175122" w:rsidRPr="00EE07EC" w:rsidRDefault="00E30154" w:rsidP="00F95566">
            <w:pPr>
              <w:pStyle w:val="ListParagraph"/>
              <w:spacing w:before="60" w:after="60" w:line="240" w:lineRule="auto"/>
              <w:ind w:left="0"/>
              <w:jc w:val="both"/>
              <w:rPr>
                <w:rFonts w:ascii="Arial" w:hAnsi="Arial" w:cs="Arial"/>
                <w:color w:val="000000"/>
                <w:sz w:val="22"/>
                <w:szCs w:val="22"/>
                <w:lang w:eastAsia="en-GB"/>
              </w:rPr>
            </w:pPr>
            <w:r>
              <w:rPr>
                <w:rFonts w:ascii="Arial" w:hAnsi="Arial" w:cs="Arial"/>
                <w:color w:val="000000"/>
                <w:sz w:val="22"/>
                <w:szCs w:val="22"/>
                <w:lang w:eastAsia="en-GB"/>
              </w:rPr>
              <w:t>Processing of payments by BTLS</w:t>
            </w:r>
            <w:r w:rsidRPr="00175122">
              <w:rPr>
                <w:rFonts w:ascii="Arial" w:hAnsi="Arial" w:cs="Arial"/>
                <w:color w:val="000000"/>
                <w:sz w:val="22"/>
                <w:szCs w:val="22"/>
                <w:lang w:eastAsia="en-GB"/>
              </w:rPr>
              <w:t xml:space="preserve"> using information supplied by the council.</w:t>
            </w:r>
          </w:p>
        </w:tc>
        <w:tc>
          <w:tcPr>
            <w:tcW w:w="1444" w:type="dxa"/>
          </w:tcPr>
          <w:p w:rsidR="00175122" w:rsidRPr="00EE07EC" w:rsidRDefault="00E30154" w:rsidP="00F95566">
            <w:pPr>
              <w:pStyle w:val="ListParagraph"/>
              <w:spacing w:before="60" w:after="60" w:line="240" w:lineRule="auto"/>
              <w:ind w:left="0"/>
              <w:jc w:val="both"/>
              <w:rPr>
                <w:rFonts w:ascii="Arial" w:hAnsi="Arial" w:cs="Arial"/>
                <w:sz w:val="22"/>
                <w:szCs w:val="22"/>
              </w:rPr>
            </w:pPr>
            <w:r>
              <w:rPr>
                <w:rFonts w:ascii="Arial" w:hAnsi="Arial" w:cs="Arial"/>
                <w:sz w:val="22"/>
                <w:szCs w:val="22"/>
              </w:rPr>
              <w:t>Full</w:t>
            </w:r>
          </w:p>
        </w:tc>
      </w:tr>
      <w:tr w:rsidR="00277CB8" w:rsidTr="004E5A0A">
        <w:tc>
          <w:tcPr>
            <w:tcW w:w="7192" w:type="dxa"/>
          </w:tcPr>
          <w:p w:rsidR="00175122" w:rsidRPr="00175122" w:rsidRDefault="00E30154" w:rsidP="00F95566">
            <w:pPr>
              <w:pStyle w:val="ListParagraph"/>
              <w:spacing w:before="60" w:after="60" w:line="240" w:lineRule="auto"/>
              <w:ind w:left="0"/>
              <w:jc w:val="both"/>
              <w:rPr>
                <w:rFonts w:ascii="Arial" w:hAnsi="Arial" w:cs="Arial"/>
                <w:color w:val="000000"/>
                <w:sz w:val="22"/>
                <w:szCs w:val="22"/>
                <w:lang w:eastAsia="en-GB"/>
              </w:rPr>
            </w:pPr>
            <w:r w:rsidRPr="00175122">
              <w:rPr>
                <w:rFonts w:ascii="Arial" w:hAnsi="Arial" w:cs="Arial"/>
                <w:color w:val="000000"/>
                <w:sz w:val="22"/>
                <w:szCs w:val="22"/>
                <w:lang w:eastAsia="en-GB"/>
              </w:rPr>
              <w:t>Payments on account and over-payments.</w:t>
            </w:r>
          </w:p>
        </w:tc>
        <w:tc>
          <w:tcPr>
            <w:tcW w:w="1444" w:type="dxa"/>
          </w:tcPr>
          <w:p w:rsidR="00175122" w:rsidRDefault="00E30154" w:rsidP="00F95566">
            <w:pPr>
              <w:pStyle w:val="ListParagraph"/>
              <w:spacing w:before="60" w:after="60" w:line="240" w:lineRule="auto"/>
              <w:ind w:left="0"/>
              <w:jc w:val="both"/>
              <w:rPr>
                <w:rFonts w:ascii="Arial" w:hAnsi="Arial" w:cs="Arial"/>
                <w:sz w:val="22"/>
                <w:szCs w:val="22"/>
              </w:rPr>
            </w:pPr>
            <w:r>
              <w:rPr>
                <w:rFonts w:ascii="Arial" w:hAnsi="Arial" w:cs="Arial"/>
                <w:sz w:val="22"/>
                <w:szCs w:val="22"/>
              </w:rPr>
              <w:t>Full</w:t>
            </w:r>
          </w:p>
        </w:tc>
      </w:tr>
      <w:tr w:rsidR="00277CB8" w:rsidTr="004E5A0A">
        <w:tc>
          <w:tcPr>
            <w:tcW w:w="7192" w:type="dxa"/>
          </w:tcPr>
          <w:p w:rsidR="004E5A0A" w:rsidRPr="00EE07EC" w:rsidRDefault="00E30154" w:rsidP="00F95566">
            <w:pPr>
              <w:pStyle w:val="ListParagraph"/>
              <w:spacing w:before="60" w:after="60" w:line="240" w:lineRule="auto"/>
              <w:ind w:left="0"/>
              <w:jc w:val="both"/>
              <w:rPr>
                <w:rFonts w:ascii="Arial" w:hAnsi="Arial" w:cs="Arial"/>
                <w:color w:val="000000"/>
                <w:sz w:val="22"/>
                <w:szCs w:val="22"/>
                <w:lang w:eastAsia="en-GB"/>
              </w:rPr>
            </w:pPr>
            <w:r w:rsidRPr="00EE07EC">
              <w:rPr>
                <w:rFonts w:ascii="Arial" w:hAnsi="Arial" w:cs="Arial"/>
                <w:color w:val="000000"/>
                <w:sz w:val="22"/>
                <w:szCs w:val="22"/>
                <w:lang w:eastAsia="en-GB"/>
              </w:rPr>
              <w:lastRenderedPageBreak/>
              <w:t xml:space="preserve">E-tendering. </w:t>
            </w:r>
            <w:r w:rsidRPr="000F2366">
              <w:rPr>
                <w:rFonts w:ascii="Arial" w:hAnsi="Arial" w:cs="Arial"/>
                <w:lang w:eastAsia="en-GB"/>
              </w:rPr>
              <w:t>(This audit addressed only the adequacy of the operational system's overall design, not its effectiveness.)</w:t>
            </w:r>
          </w:p>
        </w:tc>
        <w:tc>
          <w:tcPr>
            <w:tcW w:w="1444" w:type="dxa"/>
          </w:tcPr>
          <w:p w:rsidR="004E5A0A" w:rsidRPr="00EE07EC" w:rsidRDefault="00E30154" w:rsidP="00F95566">
            <w:pPr>
              <w:pStyle w:val="ListParagraph"/>
              <w:spacing w:before="60" w:after="60" w:line="240" w:lineRule="auto"/>
              <w:ind w:left="0"/>
              <w:jc w:val="both"/>
              <w:rPr>
                <w:rFonts w:ascii="Arial" w:hAnsi="Arial" w:cs="Arial"/>
                <w:sz w:val="22"/>
                <w:szCs w:val="22"/>
              </w:rPr>
            </w:pPr>
            <w:r w:rsidRPr="00EE07EC">
              <w:rPr>
                <w:rFonts w:ascii="Arial" w:hAnsi="Arial" w:cs="Arial"/>
                <w:sz w:val="22"/>
                <w:szCs w:val="22"/>
              </w:rPr>
              <w:t>Substantial</w:t>
            </w:r>
          </w:p>
        </w:tc>
      </w:tr>
      <w:tr w:rsidR="00277CB8" w:rsidTr="004E5A0A">
        <w:tc>
          <w:tcPr>
            <w:tcW w:w="7192" w:type="dxa"/>
          </w:tcPr>
          <w:p w:rsidR="00F328FF" w:rsidRPr="00EE07EC" w:rsidRDefault="00E30154" w:rsidP="00F95566">
            <w:pPr>
              <w:pStyle w:val="ListParagraph"/>
              <w:spacing w:before="60" w:after="60" w:line="240" w:lineRule="auto"/>
              <w:ind w:left="0"/>
              <w:jc w:val="both"/>
              <w:rPr>
                <w:rFonts w:ascii="Arial" w:hAnsi="Arial" w:cs="Arial"/>
                <w:color w:val="000000"/>
                <w:sz w:val="22"/>
                <w:szCs w:val="22"/>
                <w:lang w:eastAsia="en-GB"/>
              </w:rPr>
            </w:pPr>
            <w:r w:rsidRPr="00EE07EC">
              <w:rPr>
                <w:rFonts w:ascii="Arial" w:hAnsi="Arial" w:cs="Arial"/>
                <w:color w:val="000000"/>
                <w:sz w:val="22"/>
                <w:szCs w:val="22"/>
                <w:lang w:eastAsia="en-GB"/>
              </w:rPr>
              <w:t>Purchase cards.</w:t>
            </w:r>
          </w:p>
        </w:tc>
        <w:tc>
          <w:tcPr>
            <w:tcW w:w="1444" w:type="dxa"/>
          </w:tcPr>
          <w:p w:rsidR="00F328FF" w:rsidRPr="00EE07EC" w:rsidRDefault="00E30154" w:rsidP="00F95566">
            <w:pPr>
              <w:pStyle w:val="ListParagraph"/>
              <w:spacing w:before="60" w:after="60" w:line="240" w:lineRule="auto"/>
              <w:ind w:left="0"/>
              <w:jc w:val="both"/>
              <w:rPr>
                <w:rFonts w:ascii="Arial" w:hAnsi="Arial" w:cs="Arial"/>
                <w:sz w:val="22"/>
                <w:szCs w:val="22"/>
              </w:rPr>
            </w:pPr>
            <w:r w:rsidRPr="00EE07EC">
              <w:rPr>
                <w:rFonts w:ascii="Arial" w:hAnsi="Arial" w:cs="Arial"/>
                <w:sz w:val="22"/>
                <w:szCs w:val="22"/>
              </w:rPr>
              <w:t>Substantial</w:t>
            </w:r>
          </w:p>
        </w:tc>
        <w:bookmarkStart w:id="0" w:name="_GoBack"/>
        <w:bookmarkEnd w:id="0"/>
      </w:tr>
    </w:tbl>
    <w:p w:rsidR="004E5A0A"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031EDE">
        <w:rPr>
          <w:rFonts w:ascii="Arial" w:hAnsi="Arial" w:cs="Arial"/>
          <w:sz w:val="24"/>
          <w:szCs w:val="24"/>
        </w:rPr>
        <w:t xml:space="preserve">Since April 2016 the </w:t>
      </w:r>
      <w:r>
        <w:rPr>
          <w:rFonts w:ascii="Arial" w:hAnsi="Arial" w:cs="Arial"/>
          <w:sz w:val="24"/>
          <w:szCs w:val="24"/>
        </w:rPr>
        <w:t>Lancashire P</w:t>
      </w:r>
      <w:r w:rsidRPr="00031EDE">
        <w:rPr>
          <w:rFonts w:ascii="Arial" w:hAnsi="Arial" w:cs="Arial"/>
          <w:sz w:val="24"/>
          <w:szCs w:val="24"/>
        </w:rPr>
        <w:t xml:space="preserve">ension </w:t>
      </w:r>
      <w:r>
        <w:rPr>
          <w:rFonts w:ascii="Arial" w:hAnsi="Arial" w:cs="Arial"/>
          <w:sz w:val="24"/>
          <w:szCs w:val="24"/>
        </w:rPr>
        <w:t>F</w:t>
      </w:r>
      <w:r w:rsidRPr="00031EDE">
        <w:rPr>
          <w:rFonts w:ascii="Arial" w:hAnsi="Arial" w:cs="Arial"/>
          <w:sz w:val="24"/>
          <w:szCs w:val="24"/>
        </w:rPr>
        <w:t>und has been administered</w:t>
      </w:r>
      <w:r>
        <w:rPr>
          <w:rFonts w:ascii="Arial" w:hAnsi="Arial" w:cs="Arial"/>
          <w:sz w:val="24"/>
          <w:szCs w:val="24"/>
        </w:rPr>
        <w:t xml:space="preserve"> and its pooled assets managed</w:t>
      </w:r>
      <w:r w:rsidRPr="00031EDE">
        <w:rPr>
          <w:rFonts w:ascii="Arial" w:hAnsi="Arial" w:cs="Arial"/>
          <w:sz w:val="24"/>
          <w:szCs w:val="24"/>
        </w:rPr>
        <w:t xml:space="preserve"> by Local Pensions Partnership Ltd (LPPL). LPPL has appointed </w:t>
      </w:r>
      <w:r>
        <w:rPr>
          <w:rFonts w:ascii="Arial" w:hAnsi="Arial" w:cs="Arial"/>
          <w:sz w:val="24"/>
          <w:szCs w:val="24"/>
        </w:rPr>
        <w:t xml:space="preserve">Deloitte LLP as </w:t>
      </w:r>
      <w:r w:rsidRPr="00031EDE">
        <w:rPr>
          <w:rFonts w:ascii="Arial" w:hAnsi="Arial" w:cs="Arial"/>
          <w:sz w:val="24"/>
          <w:szCs w:val="24"/>
        </w:rPr>
        <w:t>its own internal auditor</w:t>
      </w:r>
      <w:r>
        <w:rPr>
          <w:rFonts w:ascii="Arial" w:hAnsi="Arial" w:cs="Arial"/>
          <w:sz w:val="24"/>
          <w:szCs w:val="24"/>
        </w:rPr>
        <w:t xml:space="preserve"> </w:t>
      </w:r>
      <w:r w:rsidRPr="00031EDE">
        <w:rPr>
          <w:rFonts w:ascii="Arial" w:hAnsi="Arial" w:cs="Arial"/>
          <w:sz w:val="24"/>
          <w:szCs w:val="24"/>
        </w:rPr>
        <w:t>and, in addition to the work being undertaken by the council's Internal Audit Service</w:t>
      </w:r>
      <w:r>
        <w:rPr>
          <w:rFonts w:ascii="Arial" w:hAnsi="Arial" w:cs="Arial"/>
          <w:sz w:val="24"/>
          <w:szCs w:val="24"/>
        </w:rPr>
        <w:t>,</w:t>
      </w:r>
      <w:r w:rsidRPr="00031EDE">
        <w:rPr>
          <w:rFonts w:ascii="Arial" w:hAnsi="Arial" w:cs="Arial"/>
          <w:sz w:val="24"/>
          <w:szCs w:val="24"/>
        </w:rPr>
        <w:t xml:space="preserve"> the </w:t>
      </w:r>
      <w:r>
        <w:rPr>
          <w:rFonts w:ascii="Arial" w:hAnsi="Arial" w:cs="Arial"/>
          <w:sz w:val="24"/>
          <w:szCs w:val="24"/>
        </w:rPr>
        <w:t>council may take some assurance from Deloitte's work on the framework of governance, risk management and control operating over the council's Pension Fund. Deloitte disclaims any liability to the council for any reliance it may place on this work but have agreed that their conclusions may be reported to the Audit, Risk and Governance Committee.</w:t>
      </w:r>
    </w:p>
    <w:p w:rsidR="004E5A0A" w:rsidRPr="00A72691"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 xml:space="preserve">Deloitte LLP has completed </w:t>
      </w:r>
      <w:r w:rsidRPr="00380462">
        <w:rPr>
          <w:rFonts w:ascii="Arial" w:hAnsi="Arial" w:cs="Arial"/>
          <w:sz w:val="24"/>
          <w:szCs w:val="24"/>
        </w:rPr>
        <w:t>eight</w:t>
      </w:r>
      <w:r w:rsidRPr="00F947FC">
        <w:rPr>
          <w:rFonts w:ascii="Arial" w:hAnsi="Arial" w:cs="Arial"/>
          <w:sz w:val="24"/>
          <w:szCs w:val="24"/>
        </w:rPr>
        <w:t xml:space="preserve"> </w:t>
      </w:r>
      <w:r>
        <w:rPr>
          <w:rFonts w:ascii="Arial" w:hAnsi="Arial" w:cs="Arial"/>
          <w:sz w:val="24"/>
          <w:szCs w:val="24"/>
        </w:rPr>
        <w:t>audits to date of the ten on its plan for the year. Deloitte's classification scheme differs slightly from that used by the Internal Audit Service, and an explanation of the assurance provided by both is set out in Appendix C.</w:t>
      </w:r>
    </w:p>
    <w:tbl>
      <w:tblPr>
        <w:tblStyle w:val="TableGrid"/>
        <w:tblW w:w="0" w:type="auto"/>
        <w:tblInd w:w="426" w:type="dxa"/>
        <w:tblLayout w:type="fixed"/>
        <w:tblLook w:val="04A0" w:firstRow="1" w:lastRow="0" w:firstColumn="1" w:lastColumn="0" w:noHBand="0" w:noVBand="1"/>
      </w:tblPr>
      <w:tblGrid>
        <w:gridCol w:w="6373"/>
        <w:gridCol w:w="2263"/>
      </w:tblGrid>
      <w:tr w:rsidR="00277CB8" w:rsidTr="00552A20">
        <w:trPr>
          <w:tblHeader/>
        </w:trPr>
        <w:tc>
          <w:tcPr>
            <w:tcW w:w="6373" w:type="dxa"/>
            <w:shd w:val="clear" w:color="auto" w:fill="D9D9D9" w:themeFill="background1" w:themeFillShade="D9"/>
          </w:tcPr>
          <w:p w:rsidR="004E5A0A" w:rsidRPr="00B9614A" w:rsidRDefault="00E30154" w:rsidP="00F95566">
            <w:pPr>
              <w:pStyle w:val="ListParagraph"/>
              <w:spacing w:before="60" w:after="60"/>
              <w:ind w:left="0"/>
              <w:jc w:val="both"/>
              <w:rPr>
                <w:rFonts w:ascii="Arial" w:hAnsi="Arial" w:cs="Arial"/>
                <w:b/>
                <w:sz w:val="24"/>
                <w:szCs w:val="24"/>
              </w:rPr>
            </w:pPr>
            <w:r>
              <w:rPr>
                <w:rFonts w:ascii="Arial" w:hAnsi="Arial" w:cs="Arial"/>
                <w:b/>
                <w:sz w:val="24"/>
                <w:szCs w:val="24"/>
              </w:rPr>
              <w:t>Control area</w:t>
            </w:r>
          </w:p>
        </w:tc>
        <w:tc>
          <w:tcPr>
            <w:tcW w:w="2263" w:type="dxa"/>
            <w:shd w:val="clear" w:color="auto" w:fill="D9D9D9" w:themeFill="background1" w:themeFillShade="D9"/>
          </w:tcPr>
          <w:p w:rsidR="004E5A0A" w:rsidRPr="00B9614A" w:rsidRDefault="00E30154" w:rsidP="00F95566">
            <w:pPr>
              <w:pStyle w:val="ListParagraph"/>
              <w:spacing w:before="60" w:after="60"/>
              <w:ind w:left="0"/>
              <w:jc w:val="both"/>
              <w:rPr>
                <w:rFonts w:ascii="Arial" w:hAnsi="Arial" w:cs="Arial"/>
                <w:b/>
                <w:sz w:val="24"/>
                <w:szCs w:val="24"/>
              </w:rPr>
            </w:pPr>
            <w:r w:rsidRPr="00B9614A">
              <w:rPr>
                <w:rFonts w:ascii="Arial" w:hAnsi="Arial" w:cs="Arial"/>
                <w:b/>
                <w:sz w:val="24"/>
                <w:szCs w:val="24"/>
              </w:rPr>
              <w:t>Assurance</w:t>
            </w:r>
          </w:p>
        </w:tc>
      </w:tr>
      <w:tr w:rsidR="00277CB8" w:rsidTr="00552A20">
        <w:tc>
          <w:tcPr>
            <w:tcW w:w="8636" w:type="dxa"/>
            <w:gridSpan w:val="2"/>
          </w:tcPr>
          <w:p w:rsidR="004E5A0A" w:rsidRPr="002D22F8" w:rsidRDefault="00E30154" w:rsidP="00F95566">
            <w:pPr>
              <w:pStyle w:val="ListParagraph"/>
              <w:spacing w:before="60" w:after="60"/>
              <w:ind w:left="0"/>
              <w:jc w:val="both"/>
              <w:rPr>
                <w:rFonts w:ascii="Arial" w:hAnsi="Arial" w:cs="Arial"/>
                <w:b/>
                <w:sz w:val="22"/>
                <w:szCs w:val="22"/>
              </w:rPr>
            </w:pPr>
            <w:r w:rsidRPr="002D22F8">
              <w:rPr>
                <w:rFonts w:ascii="Arial" w:hAnsi="Arial" w:cs="Arial"/>
                <w:b/>
                <w:sz w:val="22"/>
                <w:szCs w:val="22"/>
              </w:rPr>
              <w:t>Lancashire Pension Fund</w:t>
            </w:r>
          </w:p>
        </w:tc>
      </w:tr>
      <w:tr w:rsidR="00277CB8" w:rsidTr="00F03CAF">
        <w:tc>
          <w:tcPr>
            <w:tcW w:w="6373" w:type="dxa"/>
          </w:tcPr>
          <w:p w:rsidR="00D90B70" w:rsidRDefault="00E30154" w:rsidP="00F95566">
            <w:pPr>
              <w:pStyle w:val="ListParagraph"/>
              <w:spacing w:before="60" w:after="60"/>
              <w:ind w:left="0"/>
              <w:jc w:val="both"/>
              <w:rPr>
                <w:rFonts w:ascii="Arial" w:hAnsi="Arial" w:cs="Arial"/>
                <w:sz w:val="22"/>
                <w:szCs w:val="22"/>
              </w:rPr>
            </w:pPr>
            <w:r>
              <w:rPr>
                <w:rFonts w:ascii="Arial" w:hAnsi="Arial" w:cs="Arial"/>
                <w:sz w:val="22"/>
                <w:szCs w:val="22"/>
              </w:rPr>
              <w:t>Benefit administration.</w:t>
            </w:r>
          </w:p>
        </w:tc>
        <w:tc>
          <w:tcPr>
            <w:tcW w:w="2263" w:type="dxa"/>
          </w:tcPr>
          <w:p w:rsidR="00D90B70" w:rsidRPr="002D22F8" w:rsidRDefault="00E30154" w:rsidP="00F95566">
            <w:pPr>
              <w:pStyle w:val="ListParagraph"/>
              <w:spacing w:before="60" w:after="60"/>
              <w:ind w:left="0"/>
              <w:jc w:val="both"/>
              <w:rPr>
                <w:rFonts w:ascii="Arial" w:hAnsi="Arial" w:cs="Arial"/>
                <w:sz w:val="22"/>
                <w:szCs w:val="22"/>
              </w:rPr>
            </w:pPr>
            <w:r>
              <w:rPr>
                <w:rFonts w:ascii="Arial" w:hAnsi="Arial" w:cs="Arial"/>
                <w:sz w:val="22"/>
                <w:szCs w:val="22"/>
              </w:rPr>
              <w:t>Effective</w:t>
            </w:r>
          </w:p>
        </w:tc>
      </w:tr>
      <w:tr w:rsidR="00277CB8" w:rsidTr="00F03CAF">
        <w:tc>
          <w:tcPr>
            <w:tcW w:w="6373" w:type="dxa"/>
          </w:tcPr>
          <w:p w:rsidR="00D90B70" w:rsidRDefault="00E30154" w:rsidP="00F95566">
            <w:pPr>
              <w:pStyle w:val="ListParagraph"/>
              <w:spacing w:before="60" w:after="60"/>
              <w:ind w:left="0"/>
              <w:jc w:val="both"/>
              <w:rPr>
                <w:rFonts w:ascii="Arial" w:hAnsi="Arial" w:cs="Arial"/>
                <w:sz w:val="22"/>
                <w:szCs w:val="22"/>
              </w:rPr>
            </w:pPr>
            <w:r>
              <w:rPr>
                <w:rFonts w:ascii="Arial" w:hAnsi="Arial" w:cs="Arial"/>
                <w:sz w:val="22"/>
                <w:szCs w:val="22"/>
              </w:rPr>
              <w:t>Oversight of administration business transformation (phase 1).</w:t>
            </w:r>
          </w:p>
        </w:tc>
        <w:tc>
          <w:tcPr>
            <w:tcW w:w="2263" w:type="dxa"/>
          </w:tcPr>
          <w:p w:rsidR="00D90B70" w:rsidRPr="002D22F8" w:rsidRDefault="00E30154" w:rsidP="00F95566">
            <w:pPr>
              <w:pStyle w:val="ListParagraph"/>
              <w:spacing w:before="60" w:after="60"/>
              <w:ind w:left="0"/>
              <w:jc w:val="both"/>
              <w:rPr>
                <w:rFonts w:ascii="Arial" w:hAnsi="Arial" w:cs="Arial"/>
                <w:sz w:val="22"/>
                <w:szCs w:val="22"/>
              </w:rPr>
            </w:pPr>
            <w:r w:rsidRPr="002D22F8">
              <w:rPr>
                <w:rFonts w:ascii="Arial" w:hAnsi="Arial" w:cs="Arial"/>
                <w:sz w:val="22"/>
                <w:szCs w:val="22"/>
              </w:rPr>
              <w:t>Effective with scope for improvement</w:t>
            </w:r>
          </w:p>
        </w:tc>
      </w:tr>
      <w:tr w:rsidR="00277CB8" w:rsidTr="00F03CAF">
        <w:tc>
          <w:tcPr>
            <w:tcW w:w="6373" w:type="dxa"/>
          </w:tcPr>
          <w:p w:rsidR="00D90B70" w:rsidRDefault="00E30154" w:rsidP="00F95566">
            <w:pPr>
              <w:pStyle w:val="ListParagraph"/>
              <w:spacing w:before="60" w:after="60"/>
              <w:ind w:left="0"/>
              <w:jc w:val="both"/>
              <w:rPr>
                <w:rFonts w:ascii="Arial" w:hAnsi="Arial" w:cs="Arial"/>
                <w:sz w:val="22"/>
                <w:szCs w:val="22"/>
              </w:rPr>
            </w:pPr>
            <w:r>
              <w:rPr>
                <w:rFonts w:ascii="Arial" w:hAnsi="Arial" w:cs="Arial"/>
                <w:sz w:val="22"/>
                <w:szCs w:val="22"/>
              </w:rPr>
              <w:t>General IT controls operating over the Altair and Access Dimensions systems.</w:t>
            </w:r>
          </w:p>
        </w:tc>
        <w:tc>
          <w:tcPr>
            <w:tcW w:w="2263" w:type="dxa"/>
          </w:tcPr>
          <w:p w:rsidR="00D90B70" w:rsidRPr="002D22F8" w:rsidRDefault="00E30154" w:rsidP="00F95566">
            <w:pPr>
              <w:pStyle w:val="ListParagraph"/>
              <w:spacing w:before="60" w:after="60"/>
              <w:ind w:left="0"/>
              <w:jc w:val="both"/>
              <w:rPr>
                <w:rFonts w:ascii="Arial" w:hAnsi="Arial" w:cs="Arial"/>
                <w:sz w:val="22"/>
                <w:szCs w:val="22"/>
              </w:rPr>
            </w:pPr>
            <w:r w:rsidRPr="002D22F8">
              <w:rPr>
                <w:rFonts w:ascii="Arial" w:hAnsi="Arial" w:cs="Arial"/>
                <w:sz w:val="22"/>
                <w:szCs w:val="22"/>
              </w:rPr>
              <w:t>Effective with scope for improvement</w:t>
            </w:r>
          </w:p>
        </w:tc>
      </w:tr>
      <w:tr w:rsidR="00277CB8" w:rsidTr="00F03CAF">
        <w:tc>
          <w:tcPr>
            <w:tcW w:w="6373" w:type="dxa"/>
          </w:tcPr>
          <w:p w:rsidR="00D90B70" w:rsidRDefault="00E30154" w:rsidP="00F95566">
            <w:pPr>
              <w:pStyle w:val="ListParagraph"/>
              <w:spacing w:before="60" w:after="60"/>
              <w:ind w:left="0"/>
              <w:jc w:val="both"/>
              <w:rPr>
                <w:rFonts w:ascii="Arial" w:hAnsi="Arial" w:cs="Arial"/>
                <w:sz w:val="22"/>
                <w:szCs w:val="22"/>
              </w:rPr>
            </w:pPr>
            <w:r>
              <w:rPr>
                <w:rFonts w:ascii="Arial" w:hAnsi="Arial" w:cs="Arial"/>
                <w:sz w:val="22"/>
                <w:szCs w:val="22"/>
              </w:rPr>
              <w:t>Financial closing and reporting. (This audit was refocussed from the planned work on core financial controls.)</w:t>
            </w:r>
          </w:p>
        </w:tc>
        <w:tc>
          <w:tcPr>
            <w:tcW w:w="2263" w:type="dxa"/>
          </w:tcPr>
          <w:p w:rsidR="00D90B70" w:rsidRDefault="00E30154" w:rsidP="00F95566">
            <w:pPr>
              <w:pStyle w:val="ListParagraph"/>
              <w:spacing w:before="60" w:after="60"/>
              <w:ind w:left="0"/>
              <w:jc w:val="both"/>
              <w:rPr>
                <w:rFonts w:ascii="Arial" w:hAnsi="Arial" w:cs="Arial"/>
                <w:sz w:val="22"/>
                <w:szCs w:val="22"/>
              </w:rPr>
            </w:pPr>
            <w:r w:rsidRPr="002D22F8">
              <w:rPr>
                <w:rFonts w:ascii="Arial" w:hAnsi="Arial" w:cs="Arial"/>
                <w:sz w:val="22"/>
                <w:szCs w:val="22"/>
              </w:rPr>
              <w:t>Effective with scope for improvement</w:t>
            </w:r>
          </w:p>
        </w:tc>
      </w:tr>
      <w:tr w:rsidR="00277CB8" w:rsidTr="00AB0B9B">
        <w:tc>
          <w:tcPr>
            <w:tcW w:w="6373" w:type="dxa"/>
          </w:tcPr>
          <w:p w:rsidR="00D90B70" w:rsidRPr="00F5345E" w:rsidRDefault="00E30154" w:rsidP="00F95566">
            <w:pPr>
              <w:pStyle w:val="ListParagraph"/>
              <w:spacing w:before="60" w:after="60"/>
              <w:ind w:left="0"/>
              <w:jc w:val="both"/>
              <w:rPr>
                <w:rFonts w:ascii="Arial" w:hAnsi="Arial" w:cs="Arial"/>
              </w:rPr>
            </w:pPr>
            <w:r>
              <w:rPr>
                <w:rFonts w:ascii="Arial" w:hAnsi="Arial" w:cs="Arial"/>
                <w:sz w:val="22"/>
                <w:szCs w:val="22"/>
              </w:rPr>
              <w:t xml:space="preserve">Governance. </w:t>
            </w:r>
            <w:r w:rsidRPr="00F5345E">
              <w:rPr>
                <w:rFonts w:ascii="Arial" w:hAnsi="Arial" w:cs="Arial"/>
              </w:rPr>
              <w:t>(Reported in January 2018.)</w:t>
            </w:r>
          </w:p>
        </w:tc>
        <w:tc>
          <w:tcPr>
            <w:tcW w:w="2263" w:type="dxa"/>
          </w:tcPr>
          <w:p w:rsidR="00D90B70" w:rsidRPr="002D22F8" w:rsidRDefault="00E30154" w:rsidP="00F95566">
            <w:pPr>
              <w:pStyle w:val="ListParagraph"/>
              <w:spacing w:before="60" w:after="60"/>
              <w:ind w:left="0"/>
              <w:jc w:val="both"/>
              <w:rPr>
                <w:rFonts w:ascii="Arial" w:hAnsi="Arial" w:cs="Arial"/>
                <w:sz w:val="22"/>
                <w:szCs w:val="22"/>
              </w:rPr>
            </w:pPr>
            <w:r w:rsidRPr="002D22F8">
              <w:rPr>
                <w:rFonts w:ascii="Arial" w:hAnsi="Arial" w:cs="Arial"/>
                <w:sz w:val="22"/>
                <w:szCs w:val="22"/>
              </w:rPr>
              <w:t>Effective with scope for improvement</w:t>
            </w:r>
          </w:p>
        </w:tc>
      </w:tr>
      <w:tr w:rsidR="00277CB8" w:rsidTr="00AB0B9B">
        <w:tc>
          <w:tcPr>
            <w:tcW w:w="6373" w:type="dxa"/>
          </w:tcPr>
          <w:p w:rsidR="00D90B70" w:rsidRPr="00F5345E" w:rsidRDefault="00E30154" w:rsidP="00F95566">
            <w:pPr>
              <w:pStyle w:val="ListParagraph"/>
              <w:spacing w:before="60" w:after="60"/>
              <w:ind w:left="0"/>
              <w:jc w:val="both"/>
              <w:rPr>
                <w:rFonts w:ascii="Arial" w:hAnsi="Arial" w:cs="Arial"/>
              </w:rPr>
            </w:pPr>
            <w:r>
              <w:rPr>
                <w:rFonts w:ascii="Arial" w:hAnsi="Arial" w:cs="Arial"/>
                <w:sz w:val="22"/>
                <w:szCs w:val="22"/>
              </w:rPr>
              <w:t xml:space="preserve">Investment governance. </w:t>
            </w:r>
            <w:r w:rsidRPr="00F5345E">
              <w:rPr>
                <w:rFonts w:ascii="Arial" w:hAnsi="Arial" w:cs="Arial"/>
              </w:rPr>
              <w:t>(Reported in January 2018.)</w:t>
            </w:r>
          </w:p>
        </w:tc>
        <w:tc>
          <w:tcPr>
            <w:tcW w:w="2263" w:type="dxa"/>
          </w:tcPr>
          <w:p w:rsidR="00D90B70" w:rsidRPr="002D22F8" w:rsidRDefault="00E30154" w:rsidP="00F95566">
            <w:pPr>
              <w:pStyle w:val="ListParagraph"/>
              <w:spacing w:before="60" w:after="60"/>
              <w:ind w:left="0"/>
              <w:jc w:val="both"/>
              <w:rPr>
                <w:rFonts w:ascii="Arial" w:hAnsi="Arial" w:cs="Arial"/>
                <w:sz w:val="22"/>
                <w:szCs w:val="22"/>
              </w:rPr>
            </w:pPr>
            <w:r w:rsidRPr="002D22F8">
              <w:rPr>
                <w:rFonts w:ascii="Arial" w:hAnsi="Arial" w:cs="Arial"/>
                <w:sz w:val="22"/>
                <w:szCs w:val="22"/>
              </w:rPr>
              <w:t>Effective with scope for improvement</w:t>
            </w:r>
          </w:p>
        </w:tc>
      </w:tr>
      <w:tr w:rsidR="00277CB8" w:rsidTr="00552A20">
        <w:tc>
          <w:tcPr>
            <w:tcW w:w="6373" w:type="dxa"/>
          </w:tcPr>
          <w:p w:rsidR="004E5A0A" w:rsidRPr="002D22F8" w:rsidRDefault="00E30154" w:rsidP="00F95566">
            <w:pPr>
              <w:pStyle w:val="ListParagraph"/>
              <w:spacing w:before="60" w:after="60"/>
              <w:ind w:left="0"/>
              <w:jc w:val="both"/>
              <w:rPr>
                <w:rFonts w:ascii="Arial" w:hAnsi="Arial" w:cs="Arial"/>
                <w:sz w:val="22"/>
                <w:szCs w:val="22"/>
              </w:rPr>
            </w:pPr>
            <w:r w:rsidRPr="002D22F8">
              <w:rPr>
                <w:rFonts w:ascii="Arial" w:hAnsi="Arial" w:cs="Arial"/>
                <w:sz w:val="22"/>
                <w:szCs w:val="22"/>
              </w:rPr>
              <w:t xml:space="preserve">Oversight of LPPL's business </w:t>
            </w:r>
            <w:r>
              <w:rPr>
                <w:rFonts w:ascii="Arial" w:hAnsi="Arial" w:cs="Arial"/>
                <w:sz w:val="22"/>
                <w:szCs w:val="22"/>
              </w:rPr>
              <w:t xml:space="preserve">and </w:t>
            </w:r>
            <w:r w:rsidRPr="002D22F8">
              <w:rPr>
                <w:rFonts w:ascii="Arial" w:hAnsi="Arial" w:cs="Arial"/>
                <w:sz w:val="22"/>
                <w:szCs w:val="22"/>
              </w:rPr>
              <w:t>transformation change</w:t>
            </w:r>
            <w:r>
              <w:rPr>
                <w:rFonts w:ascii="Arial" w:hAnsi="Arial" w:cs="Arial"/>
                <w:sz w:val="22"/>
                <w:szCs w:val="22"/>
              </w:rPr>
              <w:t xml:space="preserve"> (phase 1)</w:t>
            </w:r>
            <w:r w:rsidRPr="002D22F8">
              <w:rPr>
                <w:rFonts w:ascii="Arial" w:hAnsi="Arial" w:cs="Arial"/>
                <w:sz w:val="22"/>
                <w:szCs w:val="22"/>
              </w:rPr>
              <w:t>.</w:t>
            </w:r>
            <w:r>
              <w:rPr>
                <w:rFonts w:ascii="Arial" w:hAnsi="Arial" w:cs="Arial"/>
                <w:sz w:val="22"/>
                <w:szCs w:val="22"/>
              </w:rPr>
              <w:t xml:space="preserve"> </w:t>
            </w:r>
            <w:r w:rsidRPr="00F5345E">
              <w:rPr>
                <w:rFonts w:ascii="Arial" w:hAnsi="Arial" w:cs="Arial"/>
              </w:rPr>
              <w:t>(Reported in September 2017.)</w:t>
            </w:r>
          </w:p>
        </w:tc>
        <w:tc>
          <w:tcPr>
            <w:tcW w:w="2263" w:type="dxa"/>
          </w:tcPr>
          <w:p w:rsidR="004E5A0A" w:rsidRPr="002D22F8" w:rsidRDefault="00E30154" w:rsidP="00F95566">
            <w:pPr>
              <w:pStyle w:val="ListParagraph"/>
              <w:spacing w:before="60" w:after="60"/>
              <w:ind w:left="0"/>
              <w:jc w:val="both"/>
              <w:rPr>
                <w:rFonts w:ascii="Arial" w:hAnsi="Arial" w:cs="Arial"/>
                <w:sz w:val="22"/>
                <w:szCs w:val="22"/>
              </w:rPr>
            </w:pPr>
            <w:r w:rsidRPr="002D22F8">
              <w:rPr>
                <w:rFonts w:ascii="Arial" w:hAnsi="Arial" w:cs="Arial"/>
                <w:sz w:val="22"/>
                <w:szCs w:val="22"/>
              </w:rPr>
              <w:t>Effective with scope for improvement</w:t>
            </w:r>
          </w:p>
        </w:tc>
      </w:tr>
      <w:tr w:rsidR="00277CB8" w:rsidTr="00552A20">
        <w:tc>
          <w:tcPr>
            <w:tcW w:w="6373" w:type="dxa"/>
          </w:tcPr>
          <w:p w:rsidR="00F5345E" w:rsidRDefault="00E30154" w:rsidP="00F95566">
            <w:pPr>
              <w:pStyle w:val="ListParagraph"/>
              <w:spacing w:before="60" w:after="60"/>
              <w:ind w:left="0"/>
              <w:jc w:val="both"/>
              <w:rPr>
                <w:rFonts w:ascii="Arial" w:hAnsi="Arial" w:cs="Arial"/>
                <w:sz w:val="22"/>
                <w:szCs w:val="22"/>
              </w:rPr>
            </w:pPr>
            <w:r>
              <w:rPr>
                <w:rFonts w:ascii="Arial" w:hAnsi="Arial" w:cs="Arial"/>
                <w:sz w:val="22"/>
                <w:szCs w:val="22"/>
              </w:rPr>
              <w:t>C</w:t>
            </w:r>
            <w:r w:rsidRPr="002D22F8">
              <w:rPr>
                <w:rFonts w:ascii="Arial" w:hAnsi="Arial" w:cs="Arial"/>
                <w:sz w:val="22"/>
                <w:szCs w:val="22"/>
              </w:rPr>
              <w:t>ore systems and infrastructure migration</w:t>
            </w:r>
            <w:r>
              <w:rPr>
                <w:rFonts w:ascii="Arial" w:hAnsi="Arial" w:cs="Arial"/>
                <w:sz w:val="22"/>
                <w:szCs w:val="22"/>
              </w:rPr>
              <w:t xml:space="preserve"> (phase 1)</w:t>
            </w:r>
            <w:r w:rsidRPr="002D22F8">
              <w:rPr>
                <w:rFonts w:ascii="Arial" w:hAnsi="Arial" w:cs="Arial"/>
                <w:sz w:val="22"/>
                <w:szCs w:val="22"/>
              </w:rPr>
              <w:t>.</w:t>
            </w:r>
          </w:p>
          <w:p w:rsidR="004E5A0A" w:rsidRPr="002D22F8" w:rsidRDefault="00E30154" w:rsidP="00F95566">
            <w:pPr>
              <w:pStyle w:val="ListParagraph"/>
              <w:spacing w:before="60" w:after="60"/>
              <w:ind w:left="0"/>
              <w:jc w:val="both"/>
              <w:rPr>
                <w:rFonts w:ascii="Arial" w:hAnsi="Arial" w:cs="Arial"/>
                <w:bCs/>
                <w:color w:val="000000"/>
                <w:sz w:val="22"/>
                <w:szCs w:val="22"/>
                <w:lang w:eastAsia="en-GB"/>
              </w:rPr>
            </w:pPr>
            <w:r w:rsidRPr="00F5345E">
              <w:rPr>
                <w:rFonts w:ascii="Arial" w:hAnsi="Arial" w:cs="Arial"/>
              </w:rPr>
              <w:t>(Reported in September 2017.)</w:t>
            </w:r>
          </w:p>
        </w:tc>
        <w:tc>
          <w:tcPr>
            <w:tcW w:w="2263" w:type="dxa"/>
          </w:tcPr>
          <w:p w:rsidR="004E5A0A" w:rsidRPr="002D22F8" w:rsidRDefault="00E30154" w:rsidP="00F95566">
            <w:pPr>
              <w:pStyle w:val="ListParagraph"/>
              <w:spacing w:before="60" w:after="60"/>
              <w:ind w:left="0"/>
              <w:jc w:val="both"/>
              <w:rPr>
                <w:rFonts w:ascii="Arial" w:hAnsi="Arial" w:cs="Arial"/>
                <w:sz w:val="22"/>
                <w:szCs w:val="22"/>
              </w:rPr>
            </w:pPr>
            <w:r w:rsidRPr="002D22F8">
              <w:rPr>
                <w:rFonts w:ascii="Arial" w:hAnsi="Arial" w:cs="Arial"/>
                <w:sz w:val="22"/>
                <w:szCs w:val="22"/>
              </w:rPr>
              <w:t>Effective with scope for improvement</w:t>
            </w:r>
          </w:p>
        </w:tc>
      </w:tr>
    </w:tbl>
    <w:p w:rsidR="00441C48" w:rsidRDefault="00BB583A" w:rsidP="00F95566">
      <w:pPr>
        <w:spacing w:line="240" w:lineRule="auto"/>
        <w:jc w:val="both"/>
        <w:rPr>
          <w:rFonts w:ascii="Arial" w:hAnsi="Arial" w:cs="Arial"/>
          <w:b/>
          <w:sz w:val="28"/>
          <w:szCs w:val="28"/>
        </w:rPr>
      </w:pPr>
    </w:p>
    <w:p w:rsidR="004E5A0A" w:rsidRPr="003360FE" w:rsidRDefault="00E30154" w:rsidP="00F95566">
      <w:pPr>
        <w:numPr>
          <w:ilvl w:val="0"/>
          <w:numId w:val="3"/>
        </w:numPr>
        <w:tabs>
          <w:tab w:val="num" w:pos="567"/>
        </w:tabs>
        <w:spacing w:before="120" w:after="120" w:line="240" w:lineRule="auto"/>
        <w:ind w:left="567" w:hanging="567"/>
        <w:jc w:val="both"/>
        <w:rPr>
          <w:rFonts w:ascii="Arial" w:hAnsi="Arial" w:cs="Arial"/>
          <w:b/>
          <w:sz w:val="28"/>
          <w:szCs w:val="28"/>
        </w:rPr>
      </w:pPr>
      <w:r>
        <w:rPr>
          <w:rFonts w:ascii="Arial" w:hAnsi="Arial" w:cs="Arial"/>
          <w:b/>
          <w:sz w:val="28"/>
          <w:szCs w:val="28"/>
        </w:rPr>
        <w:t>Amendments to the audit plan</w:t>
      </w:r>
    </w:p>
    <w:p w:rsidR="004E5A0A"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In addition to the amendments already reported, the following changes have been made to the audit plan.</w:t>
      </w:r>
    </w:p>
    <w:p w:rsidR="004E5A0A"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 xml:space="preserve">The Learning Disabilities, Autism and Mental </w:t>
      </w:r>
      <w:r w:rsidRPr="005A175A">
        <w:rPr>
          <w:rFonts w:ascii="Arial" w:hAnsi="Arial" w:cs="Arial"/>
          <w:sz w:val="24"/>
          <w:szCs w:val="24"/>
        </w:rPr>
        <w:t xml:space="preserve">Health Service has requested an audit urgently to </w:t>
      </w:r>
      <w:r>
        <w:rPr>
          <w:rFonts w:ascii="Arial" w:hAnsi="Arial" w:cs="Arial"/>
          <w:sz w:val="24"/>
          <w:szCs w:val="24"/>
        </w:rPr>
        <w:t>assess</w:t>
      </w:r>
      <w:r w:rsidRPr="005A175A">
        <w:rPr>
          <w:rFonts w:ascii="Arial" w:hAnsi="Arial" w:cs="Arial"/>
          <w:sz w:val="24"/>
          <w:szCs w:val="24"/>
        </w:rPr>
        <w:t xml:space="preserve"> the new system it has introduced to manage mental health safeguarding alerts, following an earlier audit by the Adult Safeguarding </w:t>
      </w:r>
      <w:r>
        <w:rPr>
          <w:rFonts w:ascii="Arial" w:hAnsi="Arial" w:cs="Arial"/>
          <w:sz w:val="24"/>
          <w:szCs w:val="24"/>
        </w:rPr>
        <w:t>Board. The objective has been to understand whether all appropriate cases are being referred and then progressed in compliance with the revised safeguarding reporting and recording procedures on a timely basis. This work is almost complete and a report is being drafted.</w:t>
      </w:r>
    </w:p>
    <w:p w:rsidR="00CA5325"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CA5325">
        <w:rPr>
          <w:rFonts w:ascii="Arial" w:hAnsi="Arial" w:cs="Arial"/>
          <w:sz w:val="24"/>
          <w:szCs w:val="24"/>
        </w:rPr>
        <w:t>Work to follow up the actions agreed in relation to the supervision and support to front-line social workers has been removed from the plan, and a comprehensive assessment will instead be made in the summer of 2018 by the princip</w:t>
      </w:r>
      <w:r>
        <w:rPr>
          <w:rFonts w:ascii="Arial" w:hAnsi="Arial" w:cs="Arial"/>
          <w:sz w:val="24"/>
          <w:szCs w:val="24"/>
        </w:rPr>
        <w:t>a</w:t>
      </w:r>
      <w:r w:rsidRPr="00CA5325">
        <w:rPr>
          <w:rFonts w:ascii="Arial" w:hAnsi="Arial" w:cs="Arial"/>
          <w:sz w:val="24"/>
          <w:szCs w:val="24"/>
        </w:rPr>
        <w:t xml:space="preserve">l social worker. The audit work addressing the development of the workforce in Adults Services has </w:t>
      </w:r>
      <w:r>
        <w:rPr>
          <w:rFonts w:ascii="Arial" w:hAnsi="Arial" w:cs="Arial"/>
          <w:sz w:val="24"/>
          <w:szCs w:val="24"/>
        </w:rPr>
        <w:t xml:space="preserve">also </w:t>
      </w:r>
      <w:r w:rsidRPr="00CA5325">
        <w:rPr>
          <w:rFonts w:ascii="Arial" w:hAnsi="Arial" w:cs="Arial"/>
          <w:sz w:val="24"/>
          <w:szCs w:val="24"/>
        </w:rPr>
        <w:t>been removed from the plan and may be undertaken in 2018/19 or later.</w:t>
      </w:r>
    </w:p>
    <w:p w:rsidR="007C4BEB"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Work to follow up the council's emergency planning and civil contingency arrangements has become a wider engagement and has subsumed the audit work on emergency planning in individual services. We are considering the support given to individual service areas and the planning done by them under the Emergency Planning team's procedures.</w:t>
      </w:r>
    </w:p>
    <w:p w:rsidR="005A175A"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283D1E">
        <w:rPr>
          <w:rFonts w:ascii="Arial" w:hAnsi="Arial" w:cs="Arial"/>
          <w:sz w:val="24"/>
          <w:szCs w:val="24"/>
        </w:rPr>
        <w:t>The audit of the recruitment process from end to end was put on hold during the year whilst t</w:t>
      </w:r>
      <w:r>
        <w:rPr>
          <w:rFonts w:ascii="Arial" w:hAnsi="Arial" w:cs="Arial"/>
          <w:sz w:val="24"/>
          <w:szCs w:val="24"/>
        </w:rPr>
        <w:t xml:space="preserve">he Human Resources team carried out its </w:t>
      </w:r>
      <w:r w:rsidRPr="00283D1E">
        <w:rPr>
          <w:rFonts w:ascii="Arial" w:hAnsi="Arial" w:cs="Arial"/>
          <w:sz w:val="24"/>
          <w:szCs w:val="24"/>
        </w:rPr>
        <w:t>own review of the current recruitment process</w:t>
      </w:r>
      <w:r>
        <w:rPr>
          <w:rFonts w:ascii="Arial" w:hAnsi="Arial" w:cs="Arial"/>
          <w:sz w:val="24"/>
          <w:szCs w:val="24"/>
        </w:rPr>
        <w:t>. That review</w:t>
      </w:r>
      <w:r w:rsidRPr="00283D1E">
        <w:rPr>
          <w:rFonts w:ascii="Arial" w:hAnsi="Arial" w:cs="Arial"/>
          <w:sz w:val="24"/>
          <w:szCs w:val="24"/>
        </w:rPr>
        <w:t xml:space="preserve"> has not progressed but other work is now starting, bringing together the council's Human Resources and Communications teams, the Customer Access Service, and BTLS's Payroll and Recruitment team. The Internal Audit Service intends to be closely involved in this but no further audit work will be undertaken during 2017/18.</w:t>
      </w:r>
    </w:p>
    <w:p w:rsidR="00B005D4"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Compliance work to test the operation of the h</w:t>
      </w:r>
      <w:r w:rsidRPr="00B005D4">
        <w:rPr>
          <w:rFonts w:ascii="Arial" w:hAnsi="Arial" w:cs="Arial"/>
          <w:sz w:val="24"/>
          <w:szCs w:val="24"/>
        </w:rPr>
        <w:t>ealth and safety of the council's properties has been deferred</w:t>
      </w:r>
      <w:r>
        <w:rPr>
          <w:rFonts w:ascii="Arial" w:hAnsi="Arial" w:cs="Arial"/>
          <w:sz w:val="24"/>
          <w:szCs w:val="24"/>
        </w:rPr>
        <w:t>, although an initial assessment has been made of the control framework</w:t>
      </w:r>
      <w:r w:rsidRPr="00B005D4">
        <w:rPr>
          <w:rFonts w:ascii="Arial" w:hAnsi="Arial" w:cs="Arial"/>
          <w:sz w:val="24"/>
          <w:szCs w:val="24"/>
        </w:rPr>
        <w:t>.</w:t>
      </w:r>
    </w:p>
    <w:p w:rsidR="0084218E" w:rsidRPr="00F5345E"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F5345E">
        <w:rPr>
          <w:rFonts w:ascii="Arial" w:hAnsi="Arial" w:cs="Arial"/>
          <w:sz w:val="24"/>
          <w:szCs w:val="24"/>
        </w:rPr>
        <w:t xml:space="preserve">Work on the council's cash and banking system has been impacted by sickness within the Internal Audit Service and, since in previous years no significant issues have been identified, this work has been cancelled for 2017/18. Compliance testing of the system will </w:t>
      </w:r>
      <w:r>
        <w:rPr>
          <w:rFonts w:ascii="Arial" w:hAnsi="Arial" w:cs="Arial"/>
          <w:sz w:val="24"/>
          <w:szCs w:val="24"/>
        </w:rPr>
        <w:t xml:space="preserve">instead </w:t>
      </w:r>
      <w:r w:rsidRPr="00F5345E">
        <w:rPr>
          <w:rFonts w:ascii="Arial" w:hAnsi="Arial" w:cs="Arial"/>
          <w:sz w:val="24"/>
          <w:szCs w:val="24"/>
        </w:rPr>
        <w:t xml:space="preserve">be undertaken as soon as </w:t>
      </w:r>
      <w:r>
        <w:rPr>
          <w:rFonts w:ascii="Arial" w:hAnsi="Arial" w:cs="Arial"/>
          <w:sz w:val="24"/>
          <w:szCs w:val="24"/>
        </w:rPr>
        <w:t>possible</w:t>
      </w:r>
      <w:r w:rsidRPr="00F5345E">
        <w:rPr>
          <w:rFonts w:ascii="Arial" w:hAnsi="Arial" w:cs="Arial"/>
          <w:sz w:val="24"/>
          <w:szCs w:val="24"/>
        </w:rPr>
        <w:t xml:space="preserve"> within 2018/19.</w:t>
      </w:r>
    </w:p>
    <w:p w:rsidR="004E5A0A" w:rsidRPr="00031EDE" w:rsidRDefault="00E30154" w:rsidP="00F95566">
      <w:pPr>
        <w:numPr>
          <w:ilvl w:val="0"/>
          <w:numId w:val="3"/>
        </w:numPr>
        <w:tabs>
          <w:tab w:val="num" w:pos="567"/>
        </w:tabs>
        <w:spacing w:before="120" w:after="120" w:line="240" w:lineRule="auto"/>
        <w:ind w:left="567" w:hanging="567"/>
        <w:jc w:val="both"/>
        <w:rPr>
          <w:rFonts w:ascii="Arial" w:hAnsi="Arial" w:cs="Arial"/>
          <w:b/>
          <w:sz w:val="28"/>
          <w:szCs w:val="28"/>
        </w:rPr>
      </w:pPr>
      <w:r w:rsidRPr="00031EDE">
        <w:rPr>
          <w:rFonts w:ascii="Arial" w:hAnsi="Arial" w:cs="Arial"/>
          <w:b/>
          <w:sz w:val="28"/>
          <w:szCs w:val="28"/>
        </w:rPr>
        <w:t>Issues arising from completed</w:t>
      </w:r>
      <w:r>
        <w:rPr>
          <w:rFonts w:ascii="Arial" w:hAnsi="Arial" w:cs="Arial"/>
          <w:b/>
          <w:sz w:val="28"/>
          <w:szCs w:val="28"/>
        </w:rPr>
        <w:t xml:space="preserve"> audit work </w:t>
      </w:r>
    </w:p>
    <w:p w:rsidR="004E5A0A"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 xml:space="preserve">The matters arising from each of the audits completed since the last report to the committee are set out in the narrative below, and notes of the progress made on each audit on the plan for 2017/18 are set out in </w:t>
      </w:r>
      <w:r w:rsidRPr="001B78EA">
        <w:rPr>
          <w:rFonts w:ascii="Arial" w:hAnsi="Arial" w:cs="Arial"/>
          <w:sz w:val="24"/>
          <w:szCs w:val="24"/>
        </w:rPr>
        <w:t>in Appendix B.</w:t>
      </w:r>
    </w:p>
    <w:p w:rsidR="00263D9C" w:rsidRPr="00263D9C" w:rsidRDefault="00E30154" w:rsidP="00F95566">
      <w:pPr>
        <w:pStyle w:val="ListParagraph"/>
        <w:tabs>
          <w:tab w:val="right" w:pos="9072"/>
        </w:tabs>
        <w:spacing w:before="120" w:after="120" w:line="240" w:lineRule="auto"/>
        <w:ind w:left="567"/>
        <w:jc w:val="both"/>
        <w:rPr>
          <w:rFonts w:ascii="Arial" w:hAnsi="Arial" w:cs="Arial"/>
          <w:b/>
          <w:color w:val="000000"/>
          <w:sz w:val="24"/>
          <w:szCs w:val="24"/>
          <w:lang w:eastAsia="en-GB"/>
        </w:rPr>
      </w:pPr>
      <w:r w:rsidRPr="00263D9C">
        <w:rPr>
          <w:rFonts w:ascii="Arial" w:hAnsi="Arial" w:cs="Arial"/>
          <w:b/>
          <w:color w:val="000000"/>
          <w:sz w:val="24"/>
          <w:szCs w:val="24"/>
          <w:lang w:eastAsia="en-GB"/>
        </w:rPr>
        <w:t>Oversight of the Lancashire Pension Fund</w:t>
      </w:r>
      <w:r w:rsidRPr="00263D9C">
        <w:rPr>
          <w:rFonts w:ascii="Arial" w:hAnsi="Arial" w:cs="Arial"/>
          <w:color w:val="000000"/>
          <w:sz w:val="24"/>
          <w:szCs w:val="24"/>
          <w:lang w:eastAsia="en-GB"/>
        </w:rPr>
        <w:tab/>
        <w:t>(Substantial assurance)</w:t>
      </w:r>
    </w:p>
    <w:p w:rsidR="00141945"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7F7D0E">
        <w:rPr>
          <w:rFonts w:ascii="Arial" w:hAnsi="Arial" w:cs="Arial"/>
          <w:sz w:val="24"/>
          <w:szCs w:val="24"/>
        </w:rPr>
        <w:t xml:space="preserve">A framework of controls is in place to ensure that the Pension Fund is properly </w:t>
      </w:r>
      <w:r>
        <w:rPr>
          <w:rFonts w:ascii="Arial" w:hAnsi="Arial" w:cs="Arial"/>
          <w:sz w:val="24"/>
          <w:szCs w:val="24"/>
        </w:rPr>
        <w:t>governed</w:t>
      </w:r>
      <w:r w:rsidRPr="007F7D0E">
        <w:rPr>
          <w:rFonts w:ascii="Arial" w:hAnsi="Arial" w:cs="Arial"/>
          <w:sz w:val="24"/>
          <w:szCs w:val="24"/>
        </w:rPr>
        <w:t>, and the county council is able to appropriately oversee</w:t>
      </w:r>
      <w:r>
        <w:rPr>
          <w:rFonts w:ascii="Arial" w:hAnsi="Arial" w:cs="Arial"/>
          <w:sz w:val="24"/>
          <w:szCs w:val="24"/>
        </w:rPr>
        <w:t xml:space="preserve"> the Fund's </w:t>
      </w:r>
      <w:r w:rsidRPr="007F7D0E">
        <w:rPr>
          <w:rFonts w:ascii="Arial" w:hAnsi="Arial" w:cs="Arial"/>
          <w:sz w:val="24"/>
          <w:szCs w:val="24"/>
        </w:rPr>
        <w:t xml:space="preserve">activities </w:t>
      </w:r>
      <w:r w:rsidRPr="00E77E28">
        <w:rPr>
          <w:rFonts w:ascii="Arial" w:hAnsi="Arial" w:cs="Arial"/>
          <w:sz w:val="24"/>
          <w:szCs w:val="24"/>
        </w:rPr>
        <w:t xml:space="preserve">through the Pension Fund Committee and the Lancashire Pension Board both of which include representation from the Fund's wider membership as well as the Council. The committee takes executive and strategic decisions whilst the board's role is to </w:t>
      </w:r>
      <w:r w:rsidRPr="007F7D0E">
        <w:rPr>
          <w:rFonts w:ascii="Arial" w:hAnsi="Arial" w:cs="Arial"/>
          <w:sz w:val="24"/>
          <w:szCs w:val="24"/>
        </w:rPr>
        <w:t xml:space="preserve">ensure that legal and regulatory requirements are complied with, due process is followed, and risks are </w:t>
      </w:r>
      <w:r>
        <w:rPr>
          <w:rFonts w:ascii="Arial" w:hAnsi="Arial" w:cs="Arial"/>
          <w:sz w:val="24"/>
          <w:szCs w:val="24"/>
        </w:rPr>
        <w:t>identified and controlled. Both reviewed their terms of reference during 2017, and the committee approved those of the board.</w:t>
      </w:r>
    </w:p>
    <w:p w:rsidR="00141945"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847084">
        <w:rPr>
          <w:rFonts w:ascii="Arial" w:hAnsi="Arial" w:cs="Arial"/>
          <w:sz w:val="24"/>
          <w:szCs w:val="24"/>
        </w:rPr>
        <w:t xml:space="preserve">The control framework includes a </w:t>
      </w:r>
      <w:r>
        <w:rPr>
          <w:rFonts w:ascii="Arial" w:hAnsi="Arial" w:cs="Arial"/>
          <w:sz w:val="24"/>
          <w:szCs w:val="24"/>
        </w:rPr>
        <w:t xml:space="preserve">three-year </w:t>
      </w:r>
      <w:r w:rsidRPr="00847084">
        <w:rPr>
          <w:rFonts w:ascii="Arial" w:hAnsi="Arial" w:cs="Arial"/>
          <w:sz w:val="24"/>
          <w:szCs w:val="24"/>
        </w:rPr>
        <w:t>strategic plan</w:t>
      </w:r>
      <w:r>
        <w:rPr>
          <w:rFonts w:ascii="Arial" w:hAnsi="Arial" w:cs="Arial"/>
          <w:sz w:val="24"/>
          <w:szCs w:val="24"/>
        </w:rPr>
        <w:t xml:space="preserve"> reviewed by the committee, a suite of policies including a governance policy, an actively maintained risk register reviewed by both the committee and board, notification of </w:t>
      </w:r>
      <w:r w:rsidRPr="00BE745F">
        <w:rPr>
          <w:rFonts w:ascii="Arial" w:hAnsi="Arial" w:cs="Arial"/>
          <w:sz w:val="24"/>
          <w:szCs w:val="24"/>
        </w:rPr>
        <w:t>impending regulatory changes</w:t>
      </w:r>
      <w:r>
        <w:rPr>
          <w:rFonts w:ascii="Arial" w:hAnsi="Arial" w:cs="Arial"/>
          <w:sz w:val="24"/>
          <w:szCs w:val="24"/>
        </w:rPr>
        <w:t xml:space="preserve"> and confirmation of compliance with regulations, quarterly stakeholder meetings and training for committee members. The Fund's </w:t>
      </w:r>
      <w:r w:rsidRPr="00BE745F">
        <w:rPr>
          <w:rFonts w:ascii="Arial" w:hAnsi="Arial" w:cs="Arial"/>
          <w:sz w:val="24"/>
          <w:szCs w:val="24"/>
        </w:rPr>
        <w:t>financial performance</w:t>
      </w:r>
      <w:r>
        <w:rPr>
          <w:rFonts w:ascii="Arial" w:hAnsi="Arial" w:cs="Arial"/>
          <w:sz w:val="24"/>
          <w:szCs w:val="24"/>
        </w:rPr>
        <w:t xml:space="preserve"> and the Lancashire Pension Partnership's </w:t>
      </w:r>
      <w:r w:rsidRPr="00BE745F">
        <w:rPr>
          <w:rFonts w:ascii="Arial" w:hAnsi="Arial" w:cs="Arial"/>
          <w:sz w:val="24"/>
          <w:szCs w:val="24"/>
        </w:rPr>
        <w:t>compliance with key performance indicators</w:t>
      </w:r>
      <w:r>
        <w:rPr>
          <w:rFonts w:ascii="Arial" w:hAnsi="Arial" w:cs="Arial"/>
          <w:sz w:val="24"/>
          <w:szCs w:val="24"/>
        </w:rPr>
        <w:t xml:space="preserve"> are presented to the committee quarterly, and meetings of the stakeholders in the partnership are held quarterly.</w:t>
      </w:r>
    </w:p>
    <w:p w:rsidR="00141945"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Whilst the committee has not reviewed all its policies as intended and not all members take up all offers of training, the governance and oversight framework is actively managed and appropriately implemented.</w:t>
      </w:r>
    </w:p>
    <w:p w:rsidR="00782DE4" w:rsidRPr="00782DE4" w:rsidRDefault="00E30154" w:rsidP="00F95566">
      <w:pPr>
        <w:pStyle w:val="ListParagraph"/>
        <w:tabs>
          <w:tab w:val="right" w:pos="9072"/>
        </w:tabs>
        <w:spacing w:before="120" w:after="120" w:line="240" w:lineRule="auto"/>
        <w:ind w:left="567"/>
        <w:jc w:val="both"/>
        <w:rPr>
          <w:rFonts w:ascii="Arial" w:hAnsi="Arial" w:cs="Arial"/>
          <w:b/>
          <w:color w:val="000000"/>
          <w:sz w:val="24"/>
          <w:szCs w:val="24"/>
          <w:lang w:eastAsia="en-GB"/>
        </w:rPr>
      </w:pPr>
      <w:r w:rsidRPr="00782DE4">
        <w:rPr>
          <w:rFonts w:ascii="Arial" w:hAnsi="Arial" w:cs="Arial"/>
          <w:b/>
          <w:color w:val="000000"/>
          <w:sz w:val="24"/>
          <w:szCs w:val="24"/>
          <w:lang w:eastAsia="en-GB"/>
        </w:rPr>
        <w:t xml:space="preserve">Direct </w:t>
      </w:r>
      <w:r>
        <w:rPr>
          <w:rFonts w:ascii="Arial" w:hAnsi="Arial" w:cs="Arial"/>
          <w:b/>
          <w:color w:val="000000"/>
          <w:sz w:val="24"/>
          <w:szCs w:val="24"/>
          <w:lang w:eastAsia="en-GB"/>
        </w:rPr>
        <w:t>p</w:t>
      </w:r>
      <w:r w:rsidRPr="00782DE4">
        <w:rPr>
          <w:rFonts w:ascii="Arial" w:hAnsi="Arial" w:cs="Arial"/>
          <w:b/>
          <w:color w:val="000000"/>
          <w:sz w:val="24"/>
          <w:szCs w:val="24"/>
          <w:lang w:eastAsia="en-GB"/>
        </w:rPr>
        <w:t xml:space="preserve">ayment </w:t>
      </w:r>
      <w:r>
        <w:rPr>
          <w:rFonts w:ascii="Arial" w:hAnsi="Arial" w:cs="Arial"/>
          <w:b/>
          <w:color w:val="000000"/>
          <w:sz w:val="24"/>
          <w:szCs w:val="24"/>
          <w:lang w:eastAsia="en-GB"/>
        </w:rPr>
        <w:t>f</w:t>
      </w:r>
      <w:r w:rsidRPr="00782DE4">
        <w:rPr>
          <w:rFonts w:ascii="Arial" w:hAnsi="Arial" w:cs="Arial"/>
          <w:b/>
          <w:color w:val="000000"/>
          <w:sz w:val="24"/>
          <w:szCs w:val="24"/>
          <w:lang w:eastAsia="en-GB"/>
        </w:rPr>
        <w:t xml:space="preserve">inancial </w:t>
      </w:r>
      <w:r>
        <w:rPr>
          <w:rFonts w:ascii="Arial" w:hAnsi="Arial" w:cs="Arial"/>
          <w:b/>
          <w:color w:val="000000"/>
          <w:sz w:val="24"/>
          <w:szCs w:val="24"/>
          <w:lang w:eastAsia="en-GB"/>
        </w:rPr>
        <w:t>r</w:t>
      </w:r>
      <w:r w:rsidRPr="00782DE4">
        <w:rPr>
          <w:rFonts w:ascii="Arial" w:hAnsi="Arial" w:cs="Arial"/>
          <w:b/>
          <w:color w:val="000000"/>
          <w:sz w:val="24"/>
          <w:szCs w:val="24"/>
          <w:lang w:eastAsia="en-GB"/>
        </w:rPr>
        <w:t>eview</w:t>
      </w:r>
      <w:r>
        <w:rPr>
          <w:rFonts w:ascii="Arial" w:hAnsi="Arial" w:cs="Arial"/>
          <w:b/>
          <w:color w:val="000000"/>
          <w:sz w:val="24"/>
          <w:szCs w:val="24"/>
          <w:lang w:eastAsia="en-GB"/>
        </w:rPr>
        <w:t>s</w:t>
      </w:r>
      <w:r w:rsidRPr="000A2DC0">
        <w:rPr>
          <w:rFonts w:ascii="Arial" w:hAnsi="Arial" w:cs="Arial"/>
          <w:color w:val="000000"/>
          <w:sz w:val="24"/>
          <w:szCs w:val="24"/>
          <w:lang w:eastAsia="en-GB"/>
        </w:rPr>
        <w:tab/>
        <w:t>(</w:t>
      </w:r>
      <w:r>
        <w:rPr>
          <w:rFonts w:ascii="Arial" w:hAnsi="Arial" w:cs="Arial"/>
          <w:color w:val="000000"/>
          <w:sz w:val="24"/>
          <w:szCs w:val="24"/>
          <w:lang w:eastAsia="en-GB"/>
        </w:rPr>
        <w:t>Substantial</w:t>
      </w:r>
      <w:r w:rsidRPr="000A2DC0">
        <w:rPr>
          <w:rFonts w:ascii="Arial" w:hAnsi="Arial" w:cs="Arial"/>
          <w:color w:val="000000"/>
          <w:sz w:val="24"/>
          <w:szCs w:val="24"/>
          <w:lang w:eastAsia="en-GB"/>
        </w:rPr>
        <w:t xml:space="preserve"> assurance</w:t>
      </w:r>
      <w:r>
        <w:rPr>
          <w:rFonts w:ascii="Arial" w:hAnsi="Arial" w:cs="Arial"/>
          <w:color w:val="000000"/>
          <w:sz w:val="24"/>
          <w:szCs w:val="24"/>
          <w:lang w:eastAsia="en-GB"/>
        </w:rPr>
        <w:t>)</w:t>
      </w:r>
    </w:p>
    <w:p w:rsidR="00FC7675" w:rsidRPr="006452CF"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6452CF">
        <w:rPr>
          <w:rFonts w:ascii="Arial" w:hAnsi="Arial" w:cs="Arial"/>
          <w:sz w:val="24"/>
          <w:szCs w:val="24"/>
        </w:rPr>
        <w:t>Individuals receiving a personal social care budget to meet the care needs set out in their support plan can choose to receive this funding through direct payments</w:t>
      </w:r>
      <w:r>
        <w:rPr>
          <w:rFonts w:ascii="Arial" w:hAnsi="Arial" w:cs="Arial"/>
          <w:sz w:val="24"/>
          <w:szCs w:val="24"/>
        </w:rPr>
        <w:t>, and t</w:t>
      </w:r>
      <w:r w:rsidRPr="006452CF">
        <w:rPr>
          <w:rFonts w:ascii="Arial" w:hAnsi="Arial" w:cs="Arial"/>
          <w:sz w:val="24"/>
          <w:szCs w:val="24"/>
        </w:rPr>
        <w:t>hese payments can be made through a prepaid card or a separate bank account. Since service users may need to employ carers, some of the direct payment can be used to pay an independent company to manage the carers' employment and pay any invoices.</w:t>
      </w:r>
    </w:p>
    <w:p w:rsidR="00FC7675" w:rsidRPr="008A1278"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8A1278">
        <w:rPr>
          <w:rFonts w:ascii="Arial" w:hAnsi="Arial" w:cs="Arial"/>
          <w:sz w:val="24"/>
          <w:szCs w:val="24"/>
        </w:rPr>
        <w:t xml:space="preserve">All direct payments are subject </w:t>
      </w:r>
      <w:r w:rsidRPr="00227BEC">
        <w:rPr>
          <w:rFonts w:ascii="Arial" w:hAnsi="Arial" w:cs="Arial"/>
          <w:sz w:val="24"/>
          <w:szCs w:val="24"/>
        </w:rPr>
        <w:t xml:space="preserve">to a risk assessment and reviews are generally completed at least annually for adults, or every six months </w:t>
      </w:r>
      <w:r w:rsidRPr="008A1278">
        <w:rPr>
          <w:rFonts w:ascii="Arial" w:hAnsi="Arial" w:cs="Arial"/>
          <w:sz w:val="24"/>
          <w:szCs w:val="24"/>
        </w:rPr>
        <w:t>for children.</w:t>
      </w:r>
      <w:r>
        <w:rPr>
          <w:rFonts w:ascii="Arial" w:hAnsi="Arial" w:cs="Arial"/>
          <w:sz w:val="24"/>
          <w:szCs w:val="24"/>
        </w:rPr>
        <w:t xml:space="preserve"> </w:t>
      </w:r>
      <w:r w:rsidRPr="008A1278">
        <w:rPr>
          <w:rFonts w:ascii="Arial" w:hAnsi="Arial" w:cs="Arial"/>
          <w:sz w:val="24"/>
          <w:szCs w:val="24"/>
        </w:rPr>
        <w:t xml:space="preserve">Within the Financial Assessment, Review and Direct Payment Service there are four area-based teams of assessment staff who perform care assessments and direct payment reviews, and </w:t>
      </w:r>
      <w:r>
        <w:rPr>
          <w:rFonts w:ascii="Arial" w:hAnsi="Arial" w:cs="Arial"/>
          <w:sz w:val="24"/>
          <w:szCs w:val="24"/>
        </w:rPr>
        <w:t>a t</w:t>
      </w:r>
      <w:r w:rsidRPr="008A1278">
        <w:rPr>
          <w:rFonts w:ascii="Arial" w:hAnsi="Arial" w:cs="Arial"/>
          <w:sz w:val="24"/>
          <w:szCs w:val="24"/>
        </w:rPr>
        <w:t>eam that administers the review process</w:t>
      </w:r>
      <w:r w:rsidRPr="00067245">
        <w:rPr>
          <w:rFonts w:ascii="Arial" w:hAnsi="Arial" w:cs="Arial"/>
          <w:sz w:val="24"/>
          <w:szCs w:val="24"/>
        </w:rPr>
        <w:t xml:space="preserve"> </w:t>
      </w:r>
      <w:r>
        <w:rPr>
          <w:rFonts w:ascii="Arial" w:hAnsi="Arial" w:cs="Arial"/>
          <w:sz w:val="24"/>
          <w:szCs w:val="24"/>
        </w:rPr>
        <w:t>centrally</w:t>
      </w:r>
      <w:r w:rsidRPr="008A1278">
        <w:rPr>
          <w:rFonts w:ascii="Arial" w:hAnsi="Arial" w:cs="Arial"/>
          <w:sz w:val="24"/>
          <w:szCs w:val="24"/>
        </w:rPr>
        <w:t>.</w:t>
      </w:r>
    </w:p>
    <w:p w:rsidR="00D201BA" w:rsidRPr="00227BEC"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227BEC">
        <w:rPr>
          <w:rFonts w:ascii="Arial" w:hAnsi="Arial" w:cs="Arial"/>
          <w:sz w:val="24"/>
          <w:szCs w:val="24"/>
        </w:rPr>
        <w:t>Whilst there will always be a number of reviews outstanding at any time, there are delays in completing reviews and a backlog of overdue reviews within the Financial Assessment Service. For the period from April to November 2017 the average number of outstanding direct payment visits for adults and children was 1,900 per month. Performance monitoring arrangements are in place and this backlog is recognised and is being addressed.</w:t>
      </w:r>
    </w:p>
    <w:p w:rsidR="00FC7675" w:rsidRPr="00233945"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8A1278">
        <w:rPr>
          <w:rFonts w:ascii="Arial" w:hAnsi="Arial" w:cs="Arial"/>
          <w:sz w:val="24"/>
          <w:szCs w:val="24"/>
        </w:rPr>
        <w:t xml:space="preserve">Procedures are in place and </w:t>
      </w:r>
      <w:r>
        <w:rPr>
          <w:rFonts w:ascii="Arial" w:hAnsi="Arial" w:cs="Arial"/>
          <w:sz w:val="24"/>
          <w:szCs w:val="24"/>
        </w:rPr>
        <w:t>f</w:t>
      </w:r>
      <w:r w:rsidRPr="008A1278">
        <w:rPr>
          <w:rFonts w:ascii="Arial" w:hAnsi="Arial" w:cs="Arial"/>
          <w:sz w:val="24"/>
          <w:szCs w:val="24"/>
        </w:rPr>
        <w:t xml:space="preserve">inancial </w:t>
      </w:r>
      <w:r>
        <w:rPr>
          <w:rFonts w:ascii="Arial" w:hAnsi="Arial" w:cs="Arial"/>
          <w:sz w:val="24"/>
          <w:szCs w:val="24"/>
        </w:rPr>
        <w:t>a</w:t>
      </w:r>
      <w:r w:rsidRPr="008A1278">
        <w:rPr>
          <w:rFonts w:ascii="Arial" w:hAnsi="Arial" w:cs="Arial"/>
          <w:sz w:val="24"/>
          <w:szCs w:val="24"/>
        </w:rPr>
        <w:t xml:space="preserve">ssessment </w:t>
      </w:r>
      <w:r>
        <w:rPr>
          <w:rFonts w:ascii="Arial" w:hAnsi="Arial" w:cs="Arial"/>
          <w:sz w:val="24"/>
          <w:szCs w:val="24"/>
        </w:rPr>
        <w:t>o</w:t>
      </w:r>
      <w:r w:rsidRPr="008A1278">
        <w:rPr>
          <w:rFonts w:ascii="Arial" w:hAnsi="Arial" w:cs="Arial"/>
          <w:sz w:val="24"/>
          <w:szCs w:val="24"/>
        </w:rPr>
        <w:t xml:space="preserve">fficers use process checklists to ensure consistency when checking support plans, financial and employment information, </w:t>
      </w:r>
      <w:r w:rsidRPr="00233945">
        <w:rPr>
          <w:rFonts w:ascii="Arial" w:hAnsi="Arial" w:cs="Arial"/>
          <w:sz w:val="24"/>
          <w:szCs w:val="24"/>
        </w:rPr>
        <w:t>assessed charges and any surplus funding.</w:t>
      </w:r>
    </w:p>
    <w:p w:rsidR="00FC7675" w:rsidRPr="00136FAA"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233945">
        <w:rPr>
          <w:rFonts w:ascii="Arial" w:hAnsi="Arial" w:cs="Arial"/>
          <w:sz w:val="24"/>
          <w:szCs w:val="24"/>
        </w:rPr>
        <w:t xml:space="preserve">In respect of the recovery of surplus funds held by service providers, consideration should be given to specific targeted review of certain types of agreements such as those held with </w:t>
      </w:r>
      <w:r w:rsidRPr="00136FAA">
        <w:rPr>
          <w:rFonts w:ascii="Arial" w:hAnsi="Arial" w:cs="Arial"/>
          <w:sz w:val="24"/>
          <w:szCs w:val="24"/>
        </w:rPr>
        <w:t>managed bank account providers, as previous exercises have proved that significant monies could be recovered.</w:t>
      </w:r>
    </w:p>
    <w:p w:rsidR="00FC7675" w:rsidRPr="00233945"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E</w:t>
      </w:r>
      <w:r w:rsidRPr="00233945">
        <w:rPr>
          <w:rFonts w:ascii="Arial" w:hAnsi="Arial" w:cs="Arial"/>
          <w:sz w:val="24"/>
          <w:szCs w:val="24"/>
        </w:rPr>
        <w:t>stablished procedures are in place for officers to raise concerns in respect of safeguarding or misuse/ mismanagement issues and, where required, cases are escalated with involvement from managers, operational workers or</w:t>
      </w:r>
      <w:r>
        <w:rPr>
          <w:rFonts w:ascii="Arial" w:hAnsi="Arial" w:cs="Arial"/>
          <w:sz w:val="24"/>
          <w:szCs w:val="24"/>
        </w:rPr>
        <w:t>, in cases of potential fraud,</w:t>
      </w:r>
      <w:r w:rsidRPr="00233945">
        <w:rPr>
          <w:rFonts w:ascii="Arial" w:hAnsi="Arial" w:cs="Arial"/>
          <w:sz w:val="24"/>
          <w:szCs w:val="24"/>
        </w:rPr>
        <w:t xml:space="preserve"> the Internal Audit Service. </w:t>
      </w:r>
    </w:p>
    <w:p w:rsidR="00B46EFE" w:rsidRPr="002670B7" w:rsidRDefault="00E30154" w:rsidP="00F95566">
      <w:pPr>
        <w:pStyle w:val="ListParagraph"/>
        <w:tabs>
          <w:tab w:val="right" w:pos="9072"/>
        </w:tabs>
        <w:spacing w:before="120" w:after="120" w:line="240" w:lineRule="auto"/>
        <w:ind w:left="567"/>
        <w:jc w:val="both"/>
        <w:rPr>
          <w:rFonts w:ascii="Arial" w:hAnsi="Arial" w:cs="Arial"/>
          <w:b/>
          <w:color w:val="000000"/>
          <w:sz w:val="24"/>
          <w:szCs w:val="24"/>
          <w:lang w:eastAsia="en-GB"/>
        </w:rPr>
      </w:pPr>
      <w:r w:rsidRPr="00B46EFE">
        <w:rPr>
          <w:rFonts w:ascii="Arial" w:hAnsi="Arial" w:cs="Arial"/>
          <w:b/>
          <w:color w:val="000000"/>
          <w:sz w:val="24"/>
          <w:szCs w:val="24"/>
          <w:lang w:eastAsia="en-GB"/>
        </w:rPr>
        <w:t>Ser</w:t>
      </w:r>
      <w:r>
        <w:rPr>
          <w:rFonts w:ascii="Arial" w:hAnsi="Arial" w:cs="Arial"/>
          <w:b/>
          <w:color w:val="000000"/>
          <w:sz w:val="24"/>
          <w:szCs w:val="24"/>
          <w:lang w:eastAsia="en-GB"/>
        </w:rPr>
        <w:t>vice user financial assessments</w:t>
      </w:r>
      <w:r>
        <w:rPr>
          <w:rFonts w:ascii="Arial" w:hAnsi="Arial" w:cs="Arial"/>
          <w:b/>
          <w:color w:val="000000"/>
          <w:sz w:val="24"/>
          <w:szCs w:val="24"/>
          <w:lang w:eastAsia="en-GB"/>
        </w:rPr>
        <w:tab/>
      </w:r>
      <w:r w:rsidRPr="002670B7">
        <w:rPr>
          <w:rFonts w:ascii="Arial" w:hAnsi="Arial" w:cs="Arial"/>
          <w:color w:val="000000"/>
          <w:sz w:val="24"/>
          <w:szCs w:val="24"/>
          <w:lang w:eastAsia="en-GB"/>
        </w:rPr>
        <w:t>(</w:t>
      </w:r>
      <w:r>
        <w:rPr>
          <w:rFonts w:ascii="Arial" w:hAnsi="Arial" w:cs="Arial"/>
          <w:color w:val="000000"/>
          <w:sz w:val="24"/>
          <w:szCs w:val="24"/>
          <w:lang w:eastAsia="en-GB"/>
        </w:rPr>
        <w:t>Substantial</w:t>
      </w:r>
      <w:r w:rsidRPr="002670B7">
        <w:rPr>
          <w:rFonts w:ascii="Arial" w:hAnsi="Arial" w:cs="Arial"/>
          <w:color w:val="000000"/>
          <w:sz w:val="24"/>
          <w:szCs w:val="24"/>
          <w:lang w:eastAsia="en-GB"/>
        </w:rPr>
        <w:t xml:space="preserve"> assurance)</w:t>
      </w:r>
    </w:p>
    <w:p w:rsidR="00B02A73" w:rsidRPr="00770364"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770364">
        <w:rPr>
          <w:rFonts w:ascii="Arial" w:hAnsi="Arial" w:cs="Arial"/>
          <w:sz w:val="24"/>
          <w:szCs w:val="24"/>
        </w:rPr>
        <w:t xml:space="preserve">Where a local authority charges adult service users for their social care it must carry out a financial assessment </w:t>
      </w:r>
      <w:r w:rsidRPr="00C927B4">
        <w:rPr>
          <w:rFonts w:ascii="Arial" w:hAnsi="Arial" w:cs="Arial"/>
          <w:sz w:val="24"/>
          <w:szCs w:val="24"/>
        </w:rPr>
        <w:t>in accordance with Care Act regulations</w:t>
      </w:r>
      <w:r w:rsidRPr="00770364">
        <w:rPr>
          <w:rFonts w:ascii="Arial" w:hAnsi="Arial" w:cs="Arial"/>
          <w:sz w:val="24"/>
          <w:szCs w:val="24"/>
        </w:rPr>
        <w:t xml:space="preserve"> of what the user can afford to pay and provide them with a written record of that assessment. So, when chargeable services are arranged by the county council the financial assessment team is notified and contacts the individual to arrange a financial assessment. The assessor obtains information regarding the individual's income, savings, investments, expenses and expenditure, from which they calculate how much the individual should contribute towards the cost of their care.</w:t>
      </w:r>
      <w:r>
        <w:rPr>
          <w:rFonts w:ascii="Arial" w:hAnsi="Arial" w:cs="Arial"/>
          <w:sz w:val="24"/>
          <w:szCs w:val="24"/>
        </w:rPr>
        <w:t xml:space="preserve"> This should be reassessed, normally annually, </w:t>
      </w:r>
      <w:r w:rsidRPr="00770364">
        <w:rPr>
          <w:rFonts w:ascii="Arial" w:hAnsi="Arial" w:cs="Arial"/>
          <w:sz w:val="24"/>
          <w:szCs w:val="24"/>
        </w:rPr>
        <w:t xml:space="preserve">to take account of any changes </w:t>
      </w:r>
      <w:r>
        <w:rPr>
          <w:rFonts w:ascii="Arial" w:hAnsi="Arial" w:cs="Arial"/>
          <w:sz w:val="24"/>
          <w:szCs w:val="24"/>
        </w:rPr>
        <w:t xml:space="preserve">in </w:t>
      </w:r>
      <w:r w:rsidRPr="00770364">
        <w:rPr>
          <w:rFonts w:ascii="Arial" w:hAnsi="Arial" w:cs="Arial"/>
          <w:sz w:val="24"/>
          <w:szCs w:val="24"/>
        </w:rPr>
        <w:t>circumstances.</w:t>
      </w:r>
    </w:p>
    <w:p w:rsidR="00B02A73" w:rsidRPr="00C927B4"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F</w:t>
      </w:r>
      <w:r w:rsidRPr="00C927B4">
        <w:rPr>
          <w:rFonts w:ascii="Arial" w:hAnsi="Arial" w:cs="Arial"/>
          <w:sz w:val="24"/>
          <w:szCs w:val="24"/>
        </w:rPr>
        <w:t xml:space="preserve">inancial assessments </w:t>
      </w:r>
      <w:r>
        <w:rPr>
          <w:rFonts w:ascii="Arial" w:hAnsi="Arial" w:cs="Arial"/>
          <w:sz w:val="24"/>
          <w:szCs w:val="24"/>
        </w:rPr>
        <w:t xml:space="preserve">are </w:t>
      </w:r>
      <w:r w:rsidRPr="00C927B4">
        <w:rPr>
          <w:rFonts w:ascii="Arial" w:hAnsi="Arial" w:cs="Arial"/>
          <w:sz w:val="24"/>
          <w:szCs w:val="24"/>
        </w:rPr>
        <w:t xml:space="preserve">undertaken in </w:t>
      </w:r>
      <w:r>
        <w:rPr>
          <w:rFonts w:ascii="Arial" w:hAnsi="Arial" w:cs="Arial"/>
          <w:sz w:val="24"/>
          <w:szCs w:val="24"/>
        </w:rPr>
        <w:t xml:space="preserve">accordance </w:t>
      </w:r>
      <w:r w:rsidRPr="00C927B4">
        <w:rPr>
          <w:rFonts w:ascii="Arial" w:hAnsi="Arial" w:cs="Arial"/>
          <w:sz w:val="24"/>
          <w:szCs w:val="24"/>
        </w:rPr>
        <w:t>with guidance and regulations</w:t>
      </w:r>
      <w:r>
        <w:rPr>
          <w:rFonts w:ascii="Arial" w:hAnsi="Arial" w:cs="Arial"/>
          <w:sz w:val="24"/>
          <w:szCs w:val="24"/>
        </w:rPr>
        <w:t>,</w:t>
      </w:r>
      <w:r w:rsidRPr="00C927B4">
        <w:rPr>
          <w:rFonts w:ascii="Arial" w:hAnsi="Arial" w:cs="Arial"/>
          <w:sz w:val="24"/>
          <w:szCs w:val="24"/>
        </w:rPr>
        <w:t xml:space="preserve"> and </w:t>
      </w:r>
      <w:r>
        <w:rPr>
          <w:rFonts w:ascii="Arial" w:hAnsi="Arial" w:cs="Arial"/>
          <w:sz w:val="24"/>
          <w:szCs w:val="24"/>
        </w:rPr>
        <w:t xml:space="preserve">are </w:t>
      </w:r>
      <w:r w:rsidRPr="00C927B4">
        <w:rPr>
          <w:rFonts w:ascii="Arial" w:hAnsi="Arial" w:cs="Arial"/>
          <w:sz w:val="24"/>
          <w:szCs w:val="24"/>
        </w:rPr>
        <w:t xml:space="preserve">generally completed on or </w:t>
      </w:r>
      <w:r>
        <w:rPr>
          <w:rFonts w:ascii="Arial" w:hAnsi="Arial" w:cs="Arial"/>
          <w:sz w:val="24"/>
          <w:szCs w:val="24"/>
        </w:rPr>
        <w:t xml:space="preserve">before </w:t>
      </w:r>
      <w:r w:rsidRPr="00C927B4">
        <w:rPr>
          <w:rFonts w:ascii="Arial" w:hAnsi="Arial" w:cs="Arial"/>
          <w:sz w:val="24"/>
          <w:szCs w:val="24"/>
        </w:rPr>
        <w:t>the scheduled date.</w:t>
      </w:r>
    </w:p>
    <w:p w:rsidR="00C927B4"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C927B4">
        <w:rPr>
          <w:rFonts w:ascii="Arial" w:hAnsi="Arial" w:cs="Arial"/>
          <w:sz w:val="24"/>
          <w:szCs w:val="24"/>
        </w:rPr>
        <w:t xml:space="preserve">Whilst there will always be a number of reviews outstanding at any </w:t>
      </w:r>
      <w:r>
        <w:rPr>
          <w:rFonts w:ascii="Arial" w:hAnsi="Arial" w:cs="Arial"/>
          <w:sz w:val="24"/>
          <w:szCs w:val="24"/>
        </w:rPr>
        <w:t>point in</w:t>
      </w:r>
      <w:r w:rsidRPr="00C927B4">
        <w:rPr>
          <w:rFonts w:ascii="Arial" w:hAnsi="Arial" w:cs="Arial"/>
          <w:sz w:val="24"/>
          <w:szCs w:val="24"/>
        </w:rPr>
        <w:t xml:space="preserve"> time, the</w:t>
      </w:r>
      <w:r>
        <w:rPr>
          <w:rFonts w:ascii="Arial" w:hAnsi="Arial" w:cs="Arial"/>
          <w:sz w:val="24"/>
          <w:szCs w:val="24"/>
        </w:rPr>
        <w:t xml:space="preserve"> </w:t>
      </w:r>
      <w:r w:rsidRPr="00C927B4">
        <w:rPr>
          <w:rFonts w:ascii="Arial" w:hAnsi="Arial" w:cs="Arial"/>
          <w:sz w:val="24"/>
          <w:szCs w:val="24"/>
        </w:rPr>
        <w:t>Financial Assessm</w:t>
      </w:r>
      <w:r>
        <w:rPr>
          <w:rFonts w:ascii="Arial" w:hAnsi="Arial" w:cs="Arial"/>
          <w:sz w:val="24"/>
          <w:szCs w:val="24"/>
        </w:rPr>
        <w:t xml:space="preserve">ent Service is aware of </w:t>
      </w:r>
      <w:r w:rsidRPr="00C927B4">
        <w:rPr>
          <w:rFonts w:ascii="Arial" w:hAnsi="Arial" w:cs="Arial"/>
          <w:sz w:val="24"/>
          <w:szCs w:val="24"/>
        </w:rPr>
        <w:t xml:space="preserve">delays in completing reassessments and </w:t>
      </w:r>
      <w:r>
        <w:rPr>
          <w:rFonts w:ascii="Arial" w:hAnsi="Arial" w:cs="Arial"/>
          <w:sz w:val="24"/>
          <w:szCs w:val="24"/>
        </w:rPr>
        <w:t xml:space="preserve">there is </w:t>
      </w:r>
      <w:r w:rsidRPr="00C927B4">
        <w:rPr>
          <w:rFonts w:ascii="Arial" w:hAnsi="Arial" w:cs="Arial"/>
          <w:sz w:val="24"/>
          <w:szCs w:val="24"/>
        </w:rPr>
        <w:t>a backlog of overdue reviews</w:t>
      </w:r>
      <w:r>
        <w:rPr>
          <w:rFonts w:ascii="Arial" w:hAnsi="Arial" w:cs="Arial"/>
          <w:sz w:val="24"/>
          <w:szCs w:val="24"/>
        </w:rPr>
        <w:t>.</w:t>
      </w:r>
      <w:r w:rsidRPr="00B954D0">
        <w:rPr>
          <w:rFonts w:ascii="Arial" w:hAnsi="Arial" w:cs="Arial"/>
          <w:sz w:val="24"/>
          <w:szCs w:val="24"/>
        </w:rPr>
        <w:t xml:space="preserve"> </w:t>
      </w:r>
      <w:r>
        <w:rPr>
          <w:rFonts w:ascii="Arial" w:hAnsi="Arial" w:cs="Arial"/>
          <w:sz w:val="24"/>
          <w:szCs w:val="24"/>
        </w:rPr>
        <w:t xml:space="preserve">This </w:t>
      </w:r>
      <w:r w:rsidRPr="00C927B4">
        <w:rPr>
          <w:rFonts w:ascii="Arial" w:hAnsi="Arial" w:cs="Arial"/>
          <w:sz w:val="24"/>
          <w:szCs w:val="24"/>
        </w:rPr>
        <w:t>mean</w:t>
      </w:r>
      <w:r>
        <w:rPr>
          <w:rFonts w:ascii="Arial" w:hAnsi="Arial" w:cs="Arial"/>
          <w:sz w:val="24"/>
          <w:szCs w:val="24"/>
        </w:rPr>
        <w:t>s</w:t>
      </w:r>
      <w:r w:rsidRPr="00C927B4">
        <w:rPr>
          <w:rFonts w:ascii="Arial" w:hAnsi="Arial" w:cs="Arial"/>
          <w:sz w:val="24"/>
          <w:szCs w:val="24"/>
        </w:rPr>
        <w:t xml:space="preserve"> </w:t>
      </w:r>
      <w:r>
        <w:rPr>
          <w:rFonts w:ascii="Arial" w:hAnsi="Arial" w:cs="Arial"/>
          <w:sz w:val="24"/>
          <w:szCs w:val="24"/>
        </w:rPr>
        <w:t xml:space="preserve">both </w:t>
      </w:r>
      <w:r w:rsidRPr="00C927B4">
        <w:rPr>
          <w:rFonts w:ascii="Arial" w:hAnsi="Arial" w:cs="Arial"/>
          <w:sz w:val="24"/>
          <w:szCs w:val="24"/>
        </w:rPr>
        <w:t>that service users may be subject to unnecessary charges</w:t>
      </w:r>
      <w:r>
        <w:rPr>
          <w:rFonts w:ascii="Arial" w:hAnsi="Arial" w:cs="Arial"/>
          <w:sz w:val="24"/>
          <w:szCs w:val="24"/>
        </w:rPr>
        <w:t>,</w:t>
      </w:r>
      <w:r w:rsidRPr="00C927B4">
        <w:rPr>
          <w:rFonts w:ascii="Arial" w:hAnsi="Arial" w:cs="Arial"/>
          <w:sz w:val="24"/>
          <w:szCs w:val="24"/>
        </w:rPr>
        <w:t xml:space="preserve"> </w:t>
      </w:r>
      <w:r>
        <w:rPr>
          <w:rFonts w:ascii="Arial" w:hAnsi="Arial" w:cs="Arial"/>
          <w:sz w:val="24"/>
          <w:szCs w:val="24"/>
        </w:rPr>
        <w:t xml:space="preserve">and </w:t>
      </w:r>
      <w:r w:rsidRPr="00C927B4">
        <w:rPr>
          <w:rFonts w:ascii="Arial" w:hAnsi="Arial" w:cs="Arial"/>
          <w:sz w:val="24"/>
          <w:szCs w:val="24"/>
        </w:rPr>
        <w:t>that income due to the council is not collected.</w:t>
      </w:r>
      <w:r>
        <w:rPr>
          <w:rFonts w:ascii="Arial" w:hAnsi="Arial" w:cs="Arial"/>
          <w:sz w:val="24"/>
          <w:szCs w:val="24"/>
        </w:rPr>
        <w:t xml:space="preserve"> A reassessment team will be established within </w:t>
      </w:r>
      <w:r w:rsidRPr="00C927B4">
        <w:rPr>
          <w:rFonts w:ascii="Arial" w:hAnsi="Arial" w:cs="Arial"/>
          <w:sz w:val="24"/>
          <w:szCs w:val="24"/>
        </w:rPr>
        <w:t xml:space="preserve">Exchequer Services </w:t>
      </w:r>
      <w:r>
        <w:rPr>
          <w:rFonts w:ascii="Arial" w:hAnsi="Arial" w:cs="Arial"/>
          <w:sz w:val="24"/>
          <w:szCs w:val="24"/>
        </w:rPr>
        <w:t>from 1 April 2018.</w:t>
      </w:r>
    </w:p>
    <w:p w:rsidR="00296C75" w:rsidRDefault="00E30154" w:rsidP="00F95566">
      <w:pPr>
        <w:pStyle w:val="ListParagraph"/>
        <w:tabs>
          <w:tab w:val="right" w:pos="9072"/>
        </w:tabs>
        <w:spacing w:before="120" w:line="240" w:lineRule="auto"/>
        <w:ind w:left="567"/>
        <w:jc w:val="both"/>
        <w:rPr>
          <w:rFonts w:ascii="Arial" w:hAnsi="Arial" w:cs="Arial"/>
          <w:b/>
          <w:color w:val="000000"/>
          <w:sz w:val="24"/>
          <w:szCs w:val="24"/>
          <w:lang w:eastAsia="en-GB"/>
        </w:rPr>
      </w:pPr>
      <w:r w:rsidRPr="00296C75">
        <w:rPr>
          <w:rFonts w:ascii="Arial" w:hAnsi="Arial" w:cs="Arial"/>
          <w:b/>
          <w:color w:val="000000"/>
          <w:sz w:val="24"/>
          <w:szCs w:val="24"/>
          <w:lang w:eastAsia="en-GB"/>
        </w:rPr>
        <w:t>Information security within parts of Children's Services</w:t>
      </w:r>
    </w:p>
    <w:p w:rsidR="00296C75" w:rsidRPr="00296C75" w:rsidRDefault="00E30154" w:rsidP="00F95566">
      <w:pPr>
        <w:pStyle w:val="ListParagraph"/>
        <w:tabs>
          <w:tab w:val="right" w:pos="9072"/>
        </w:tabs>
        <w:spacing w:after="120" w:line="240" w:lineRule="auto"/>
        <w:ind w:left="567"/>
        <w:jc w:val="both"/>
        <w:rPr>
          <w:rFonts w:ascii="Arial" w:hAnsi="Arial" w:cs="Arial"/>
          <w:b/>
          <w:color w:val="000000"/>
          <w:sz w:val="24"/>
          <w:szCs w:val="24"/>
          <w:lang w:eastAsia="en-GB"/>
        </w:rPr>
      </w:pPr>
      <w:r>
        <w:rPr>
          <w:rFonts w:ascii="Arial" w:hAnsi="Arial" w:cs="Arial"/>
          <w:color w:val="000000"/>
          <w:sz w:val="24"/>
          <w:szCs w:val="24"/>
          <w:lang w:eastAsia="en-GB"/>
        </w:rPr>
        <w:tab/>
        <w:t>(S</w:t>
      </w:r>
      <w:r w:rsidRPr="00296C75">
        <w:rPr>
          <w:rFonts w:ascii="Arial" w:hAnsi="Arial" w:cs="Arial"/>
          <w:color w:val="000000"/>
          <w:sz w:val="24"/>
          <w:szCs w:val="24"/>
          <w:lang w:eastAsia="en-GB"/>
        </w:rPr>
        <w:t>ubstantial assurance)</w:t>
      </w:r>
    </w:p>
    <w:p w:rsidR="00296C75" w:rsidRPr="00CA6F6E"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CA6F6E">
        <w:rPr>
          <w:rFonts w:ascii="Arial" w:hAnsi="Arial" w:cs="Arial"/>
          <w:sz w:val="24"/>
          <w:szCs w:val="24"/>
        </w:rPr>
        <w:t xml:space="preserve">Both the Fostering, Adoption, Residential and Youth Offending Team and Safeguarding, Inspection and Audit Service actively promote the council's information security policies. They refer to critical policies, such as information handling, in their own procedures and induction checklists, and require all officers to complete information governance e-learning annually. Each service has an information governance champion to provide advice and guidance and we found a robust process of reporting and responding to data breaches by managers. </w:t>
      </w:r>
      <w:r>
        <w:rPr>
          <w:rFonts w:ascii="Arial" w:hAnsi="Arial" w:cs="Arial"/>
          <w:sz w:val="24"/>
          <w:szCs w:val="24"/>
        </w:rPr>
        <w:t>However d</w:t>
      </w:r>
      <w:r w:rsidRPr="00CA6F6E">
        <w:rPr>
          <w:rFonts w:ascii="Arial" w:hAnsi="Arial" w:cs="Arial"/>
          <w:sz w:val="24"/>
          <w:szCs w:val="24"/>
        </w:rPr>
        <w:t>espite this a number of data breaches have occurred.</w:t>
      </w:r>
    </w:p>
    <w:p w:rsidR="00296C75" w:rsidRPr="00296C75"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T</w:t>
      </w:r>
      <w:r w:rsidRPr="00CA6F6E">
        <w:rPr>
          <w:rFonts w:ascii="Arial" w:hAnsi="Arial" w:cs="Arial"/>
          <w:sz w:val="24"/>
          <w:szCs w:val="24"/>
        </w:rPr>
        <w:t xml:space="preserve">he majority of breaches are attributed to a failure by individual officers to follow policies and procedures, and </w:t>
      </w:r>
      <w:r>
        <w:rPr>
          <w:rFonts w:ascii="Arial" w:hAnsi="Arial" w:cs="Arial"/>
          <w:sz w:val="24"/>
          <w:szCs w:val="24"/>
        </w:rPr>
        <w:t xml:space="preserve">we </w:t>
      </w:r>
      <w:r w:rsidRPr="00CA6F6E">
        <w:rPr>
          <w:rFonts w:ascii="Arial" w:hAnsi="Arial" w:cs="Arial"/>
          <w:sz w:val="24"/>
          <w:szCs w:val="24"/>
        </w:rPr>
        <w:t xml:space="preserve">understand that more stringent application of disciplinary action has </w:t>
      </w:r>
      <w:r>
        <w:rPr>
          <w:rFonts w:ascii="Arial" w:hAnsi="Arial" w:cs="Arial"/>
          <w:sz w:val="24"/>
          <w:szCs w:val="24"/>
        </w:rPr>
        <w:t xml:space="preserve">now </w:t>
      </w:r>
      <w:r w:rsidRPr="00CA6F6E">
        <w:rPr>
          <w:rFonts w:ascii="Arial" w:hAnsi="Arial" w:cs="Arial"/>
          <w:sz w:val="24"/>
          <w:szCs w:val="24"/>
        </w:rPr>
        <w:t>been adopted.</w:t>
      </w:r>
    </w:p>
    <w:p w:rsidR="00D061AC" w:rsidRPr="002670B7" w:rsidRDefault="00E30154" w:rsidP="00F95566">
      <w:pPr>
        <w:pStyle w:val="ListParagraph"/>
        <w:tabs>
          <w:tab w:val="right" w:pos="9072"/>
        </w:tabs>
        <w:spacing w:before="120" w:after="120" w:line="240" w:lineRule="auto"/>
        <w:ind w:left="567"/>
        <w:jc w:val="both"/>
        <w:rPr>
          <w:rFonts w:ascii="Arial" w:hAnsi="Arial" w:cs="Arial"/>
          <w:b/>
          <w:color w:val="000000"/>
          <w:sz w:val="24"/>
          <w:szCs w:val="24"/>
          <w:lang w:eastAsia="en-GB"/>
        </w:rPr>
      </w:pPr>
      <w:r>
        <w:rPr>
          <w:rFonts w:ascii="Arial" w:hAnsi="Arial" w:cs="Arial"/>
          <w:b/>
          <w:color w:val="000000"/>
          <w:sz w:val="24"/>
          <w:szCs w:val="24"/>
          <w:lang w:eastAsia="en-GB"/>
        </w:rPr>
        <w:t xml:space="preserve">Personal budgets for children's service users and direct payments to their carers </w:t>
      </w:r>
      <w:r>
        <w:rPr>
          <w:rFonts w:ascii="Arial" w:hAnsi="Arial" w:cs="Arial"/>
          <w:b/>
          <w:color w:val="000000"/>
          <w:sz w:val="24"/>
          <w:szCs w:val="24"/>
          <w:lang w:eastAsia="en-GB"/>
        </w:rPr>
        <w:tab/>
      </w:r>
      <w:r w:rsidRPr="002670B7">
        <w:rPr>
          <w:rFonts w:ascii="Arial" w:hAnsi="Arial" w:cs="Arial"/>
          <w:color w:val="000000"/>
          <w:sz w:val="24"/>
          <w:szCs w:val="24"/>
          <w:lang w:eastAsia="en-GB"/>
        </w:rPr>
        <w:t>(Limited assurance)</w:t>
      </w:r>
    </w:p>
    <w:p w:rsidR="00A94F50" w:rsidRPr="00EB2418"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EB2418">
        <w:rPr>
          <w:rFonts w:ascii="Arial" w:hAnsi="Arial" w:cs="Arial"/>
          <w:sz w:val="24"/>
          <w:szCs w:val="24"/>
        </w:rPr>
        <w:t>Personal budgets can be requested by the parents and carers of children and young people who have been assessed as needing an education, health and care plan, to fund services to support the outcomes for them. As has already been reported in respect of direct payments to adults, a personal budget can be administered through direct payments.</w:t>
      </w:r>
    </w:p>
    <w:p w:rsidR="00A94F50"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667829">
        <w:rPr>
          <w:rFonts w:ascii="Arial" w:hAnsi="Arial" w:cs="Arial"/>
          <w:sz w:val="24"/>
          <w:szCs w:val="24"/>
        </w:rPr>
        <w:t xml:space="preserve">The Resource Allocation System </w:t>
      </w:r>
      <w:r>
        <w:rPr>
          <w:rFonts w:ascii="Arial" w:hAnsi="Arial" w:cs="Arial"/>
          <w:sz w:val="24"/>
          <w:szCs w:val="24"/>
        </w:rPr>
        <w:t xml:space="preserve">(RAS) </w:t>
      </w:r>
      <w:r w:rsidRPr="00667829">
        <w:rPr>
          <w:rFonts w:ascii="Arial" w:hAnsi="Arial" w:cs="Arial"/>
          <w:sz w:val="24"/>
          <w:szCs w:val="24"/>
        </w:rPr>
        <w:t xml:space="preserve">is not being used as required to assess the client's level of need and to generate an indicative budget: we found that the system had </w:t>
      </w:r>
      <w:r>
        <w:rPr>
          <w:rFonts w:ascii="Arial" w:hAnsi="Arial" w:cs="Arial"/>
          <w:sz w:val="24"/>
          <w:szCs w:val="24"/>
        </w:rPr>
        <w:t xml:space="preserve">been </w:t>
      </w:r>
      <w:r w:rsidRPr="00667829">
        <w:rPr>
          <w:rFonts w:ascii="Arial" w:hAnsi="Arial" w:cs="Arial"/>
          <w:sz w:val="24"/>
          <w:szCs w:val="24"/>
        </w:rPr>
        <w:t xml:space="preserve">used </w:t>
      </w:r>
      <w:r>
        <w:rPr>
          <w:rFonts w:ascii="Arial" w:hAnsi="Arial" w:cs="Arial"/>
          <w:sz w:val="24"/>
          <w:szCs w:val="24"/>
        </w:rPr>
        <w:t xml:space="preserve">in </w:t>
      </w:r>
      <w:r w:rsidRPr="00667829">
        <w:rPr>
          <w:rFonts w:ascii="Arial" w:hAnsi="Arial" w:cs="Arial"/>
          <w:sz w:val="24"/>
          <w:szCs w:val="24"/>
        </w:rPr>
        <w:t>only six cases out of 20</w:t>
      </w:r>
      <w:r>
        <w:rPr>
          <w:rFonts w:ascii="Arial" w:hAnsi="Arial" w:cs="Arial"/>
          <w:sz w:val="24"/>
          <w:szCs w:val="24"/>
        </w:rPr>
        <w:t>. Where the system is not used,</w:t>
      </w:r>
      <w:r w:rsidRPr="00667829">
        <w:rPr>
          <w:rFonts w:ascii="Arial" w:hAnsi="Arial" w:cs="Arial"/>
          <w:sz w:val="24"/>
          <w:szCs w:val="24"/>
        </w:rPr>
        <w:t xml:space="preserve"> social workers are making their own assessment of need which, whilst it may be appropriate for the service user, may be inequitable and inconsistent with the assessments made for others.</w:t>
      </w:r>
    </w:p>
    <w:p w:rsidR="00A94F50" w:rsidRPr="00667829"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667829">
        <w:rPr>
          <w:rFonts w:ascii="Arial" w:hAnsi="Arial" w:cs="Arial"/>
          <w:sz w:val="24"/>
          <w:szCs w:val="24"/>
        </w:rPr>
        <w:t>Where assessments are carried out</w:t>
      </w:r>
      <w:r>
        <w:rPr>
          <w:rFonts w:ascii="Arial" w:hAnsi="Arial" w:cs="Arial"/>
          <w:sz w:val="24"/>
          <w:szCs w:val="24"/>
        </w:rPr>
        <w:t xml:space="preserve"> (whether using RAS or not) they are not always recorded</w:t>
      </w:r>
      <w:r w:rsidRPr="00667829">
        <w:rPr>
          <w:rFonts w:ascii="Arial" w:hAnsi="Arial" w:cs="Arial"/>
          <w:sz w:val="24"/>
          <w:szCs w:val="24"/>
        </w:rPr>
        <w:t xml:space="preserve"> on the </w:t>
      </w:r>
      <w:proofErr w:type="spellStart"/>
      <w:r w:rsidRPr="00667829">
        <w:rPr>
          <w:rFonts w:ascii="Arial" w:hAnsi="Arial" w:cs="Arial"/>
          <w:sz w:val="24"/>
          <w:szCs w:val="24"/>
        </w:rPr>
        <w:t>Liquidlogic</w:t>
      </w:r>
      <w:proofErr w:type="spellEnd"/>
      <w:r w:rsidRPr="00667829">
        <w:rPr>
          <w:rFonts w:ascii="Arial" w:hAnsi="Arial" w:cs="Arial"/>
          <w:sz w:val="24"/>
          <w:szCs w:val="24"/>
        </w:rPr>
        <w:t xml:space="preserve"> Children's System (LCS). Although service users' case files are updated on LCS during the assessment process, the content and information recorded varies greatly. This is much the same as was reported in January 2018 </w:t>
      </w:r>
      <w:r>
        <w:rPr>
          <w:rFonts w:ascii="Arial" w:hAnsi="Arial" w:cs="Arial"/>
          <w:sz w:val="24"/>
          <w:szCs w:val="24"/>
        </w:rPr>
        <w:t xml:space="preserve">in </w:t>
      </w:r>
      <w:r w:rsidRPr="00667829">
        <w:rPr>
          <w:rFonts w:ascii="Arial" w:hAnsi="Arial" w:cs="Arial"/>
          <w:sz w:val="24"/>
          <w:szCs w:val="24"/>
        </w:rPr>
        <w:t>respect of direct payments to adult service users.</w:t>
      </w:r>
    </w:p>
    <w:p w:rsidR="00A94F50" w:rsidRPr="002C4F6A"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T</w:t>
      </w:r>
      <w:r w:rsidRPr="002C4F6A">
        <w:rPr>
          <w:rFonts w:ascii="Arial" w:hAnsi="Arial" w:cs="Arial"/>
          <w:sz w:val="24"/>
          <w:szCs w:val="24"/>
        </w:rPr>
        <w:t xml:space="preserve">here is no formal guidance or training programme in place to ensure that Children's Services' staff are aware of the procedures for setting </w:t>
      </w:r>
      <w:r>
        <w:rPr>
          <w:rFonts w:ascii="Arial" w:hAnsi="Arial" w:cs="Arial"/>
          <w:sz w:val="24"/>
          <w:szCs w:val="24"/>
        </w:rPr>
        <w:t>up personal budgets managed through direct payments</w:t>
      </w:r>
      <w:r w:rsidRPr="002C4F6A">
        <w:rPr>
          <w:rFonts w:ascii="Arial" w:hAnsi="Arial" w:cs="Arial"/>
          <w:sz w:val="24"/>
          <w:szCs w:val="24"/>
        </w:rPr>
        <w:t>. Although a flowchart detailing key tasks and other information is available on the Adult Services' intranet, Children's Services' staff cannot access this.</w:t>
      </w:r>
    </w:p>
    <w:p w:rsidR="00A94F50" w:rsidRPr="00B812DD"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L</w:t>
      </w:r>
      <w:r w:rsidRPr="003D4CEB">
        <w:rPr>
          <w:rFonts w:ascii="Arial" w:hAnsi="Arial" w:cs="Arial"/>
          <w:sz w:val="24"/>
          <w:szCs w:val="24"/>
        </w:rPr>
        <w:t xml:space="preserve">ike direct </w:t>
      </w:r>
      <w:r w:rsidRPr="00667829">
        <w:rPr>
          <w:rFonts w:ascii="Arial" w:hAnsi="Arial" w:cs="Arial"/>
          <w:sz w:val="24"/>
          <w:szCs w:val="24"/>
        </w:rPr>
        <w:t xml:space="preserve">payments to adults, direct payments made to children's carers must be supported by a signed 'FIN107' agreement to comply with the scheme's financial terms and conditions. These agreements should be retained on case files but we found none on LCS. There is no evidence that financial terms and conditions are routinely discussed and agreed </w:t>
      </w:r>
      <w:r w:rsidRPr="00B812DD">
        <w:rPr>
          <w:rFonts w:ascii="Arial" w:hAnsi="Arial" w:cs="Arial"/>
          <w:sz w:val="24"/>
          <w:szCs w:val="24"/>
        </w:rPr>
        <w:t xml:space="preserve">with clients. </w:t>
      </w:r>
    </w:p>
    <w:p w:rsidR="00A94F50"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B812DD">
        <w:rPr>
          <w:rFonts w:ascii="Arial" w:hAnsi="Arial" w:cs="Arial"/>
          <w:sz w:val="24"/>
          <w:szCs w:val="24"/>
        </w:rPr>
        <w:t xml:space="preserve">Where support staff are employed by or on behalf of service users' carers we could not verify that information from the Disclosure and </w:t>
      </w:r>
      <w:r w:rsidRPr="005F7958">
        <w:rPr>
          <w:rFonts w:ascii="Arial" w:hAnsi="Arial" w:cs="Arial"/>
          <w:sz w:val="24"/>
          <w:szCs w:val="24"/>
        </w:rPr>
        <w:t xml:space="preserve">Barring Service (DBS) is obtained for all. In some cases information has clearly been requested but no </w:t>
      </w:r>
      <w:r>
        <w:rPr>
          <w:rFonts w:ascii="Arial" w:hAnsi="Arial" w:cs="Arial"/>
          <w:sz w:val="24"/>
          <w:szCs w:val="24"/>
        </w:rPr>
        <w:t>records</w:t>
      </w:r>
      <w:r w:rsidRPr="005F7958">
        <w:rPr>
          <w:rFonts w:ascii="Arial" w:hAnsi="Arial" w:cs="Arial"/>
          <w:sz w:val="24"/>
          <w:szCs w:val="24"/>
        </w:rPr>
        <w:t xml:space="preserve"> of any DBS references are </w:t>
      </w:r>
      <w:r>
        <w:rPr>
          <w:rFonts w:ascii="Arial" w:hAnsi="Arial" w:cs="Arial"/>
          <w:sz w:val="24"/>
          <w:szCs w:val="24"/>
        </w:rPr>
        <w:t xml:space="preserve">held </w:t>
      </w:r>
      <w:r w:rsidRPr="005F7958">
        <w:rPr>
          <w:rFonts w:ascii="Arial" w:hAnsi="Arial" w:cs="Arial"/>
          <w:sz w:val="24"/>
          <w:szCs w:val="24"/>
        </w:rPr>
        <w:t>on LCS.</w:t>
      </w:r>
    </w:p>
    <w:p w:rsidR="00A94F50"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Visits by f</w:t>
      </w:r>
      <w:r w:rsidRPr="00BA299E">
        <w:rPr>
          <w:rFonts w:ascii="Arial" w:hAnsi="Arial" w:cs="Arial"/>
          <w:sz w:val="24"/>
          <w:szCs w:val="24"/>
        </w:rPr>
        <w:t xml:space="preserve">inancial </w:t>
      </w:r>
      <w:r>
        <w:rPr>
          <w:rFonts w:ascii="Arial" w:hAnsi="Arial" w:cs="Arial"/>
          <w:sz w:val="24"/>
          <w:szCs w:val="24"/>
        </w:rPr>
        <w:t>a</w:t>
      </w:r>
      <w:r w:rsidRPr="00BA299E">
        <w:rPr>
          <w:rFonts w:ascii="Arial" w:hAnsi="Arial" w:cs="Arial"/>
          <w:sz w:val="24"/>
          <w:szCs w:val="24"/>
        </w:rPr>
        <w:t xml:space="preserve">ssessment </w:t>
      </w:r>
      <w:r>
        <w:rPr>
          <w:rFonts w:ascii="Arial" w:hAnsi="Arial" w:cs="Arial"/>
          <w:sz w:val="24"/>
          <w:szCs w:val="24"/>
        </w:rPr>
        <w:t>o</w:t>
      </w:r>
      <w:r w:rsidRPr="00BA299E">
        <w:rPr>
          <w:rFonts w:ascii="Arial" w:hAnsi="Arial" w:cs="Arial"/>
          <w:sz w:val="24"/>
          <w:szCs w:val="24"/>
        </w:rPr>
        <w:t>fficer</w:t>
      </w:r>
      <w:r>
        <w:rPr>
          <w:rFonts w:ascii="Arial" w:hAnsi="Arial" w:cs="Arial"/>
          <w:sz w:val="24"/>
          <w:szCs w:val="24"/>
        </w:rPr>
        <w:t>s</w:t>
      </w:r>
      <w:r w:rsidRPr="00BA299E">
        <w:rPr>
          <w:rFonts w:ascii="Arial" w:hAnsi="Arial" w:cs="Arial"/>
          <w:sz w:val="24"/>
          <w:szCs w:val="24"/>
        </w:rPr>
        <w:t xml:space="preserve"> to review care packages were not always carried out within the six months stipulated in guidance, and visits and cancellations were not recorded on LCS. However, the </w:t>
      </w:r>
      <w:r>
        <w:rPr>
          <w:rFonts w:ascii="Arial" w:hAnsi="Arial" w:cs="Arial"/>
          <w:sz w:val="24"/>
          <w:szCs w:val="24"/>
        </w:rPr>
        <w:t>h</w:t>
      </w:r>
      <w:r w:rsidRPr="00BA299E">
        <w:rPr>
          <w:rFonts w:ascii="Arial" w:hAnsi="Arial" w:cs="Arial"/>
          <w:sz w:val="24"/>
          <w:szCs w:val="24"/>
        </w:rPr>
        <w:t xml:space="preserve">ead of </w:t>
      </w:r>
      <w:r>
        <w:rPr>
          <w:rFonts w:ascii="Arial" w:hAnsi="Arial" w:cs="Arial"/>
          <w:sz w:val="24"/>
          <w:szCs w:val="24"/>
        </w:rPr>
        <w:t>e</w:t>
      </w:r>
      <w:r w:rsidRPr="00BA299E">
        <w:rPr>
          <w:rFonts w:ascii="Arial" w:hAnsi="Arial" w:cs="Arial"/>
          <w:sz w:val="24"/>
          <w:szCs w:val="24"/>
        </w:rPr>
        <w:t xml:space="preserve">xchequer </w:t>
      </w:r>
      <w:r>
        <w:rPr>
          <w:rFonts w:ascii="Arial" w:hAnsi="Arial" w:cs="Arial"/>
          <w:sz w:val="24"/>
          <w:szCs w:val="24"/>
        </w:rPr>
        <w:t>s</w:t>
      </w:r>
      <w:r w:rsidRPr="00BA299E">
        <w:rPr>
          <w:rFonts w:ascii="Arial" w:hAnsi="Arial" w:cs="Arial"/>
          <w:sz w:val="24"/>
          <w:szCs w:val="24"/>
        </w:rPr>
        <w:t xml:space="preserve">ervices </w:t>
      </w:r>
      <w:r>
        <w:rPr>
          <w:rFonts w:ascii="Arial" w:hAnsi="Arial" w:cs="Arial"/>
          <w:sz w:val="24"/>
          <w:szCs w:val="24"/>
        </w:rPr>
        <w:t xml:space="preserve">has </w:t>
      </w:r>
      <w:r w:rsidRPr="00BA299E">
        <w:rPr>
          <w:rFonts w:ascii="Arial" w:hAnsi="Arial" w:cs="Arial"/>
          <w:sz w:val="24"/>
          <w:szCs w:val="24"/>
        </w:rPr>
        <w:t xml:space="preserve">confirmed that, in support of revenue savings agreed by Cabinet in October 2017, financial assessments are </w:t>
      </w:r>
      <w:r>
        <w:rPr>
          <w:rFonts w:ascii="Arial" w:hAnsi="Arial" w:cs="Arial"/>
          <w:sz w:val="24"/>
          <w:szCs w:val="24"/>
        </w:rPr>
        <w:t xml:space="preserve">now </w:t>
      </w:r>
      <w:r w:rsidRPr="00BA299E">
        <w:rPr>
          <w:rFonts w:ascii="Arial" w:hAnsi="Arial" w:cs="Arial"/>
          <w:sz w:val="24"/>
          <w:szCs w:val="24"/>
        </w:rPr>
        <w:t xml:space="preserve">carried out through desktop assessment and visits are made only in exceptional circumstances. </w:t>
      </w:r>
      <w:r>
        <w:rPr>
          <w:rFonts w:ascii="Arial" w:hAnsi="Arial" w:cs="Arial"/>
          <w:sz w:val="24"/>
          <w:szCs w:val="24"/>
        </w:rPr>
        <w:t>Our recent audit of financial assessments covered this area in more detail.</w:t>
      </w:r>
    </w:p>
    <w:p w:rsidR="009109F5" w:rsidRPr="009109F5" w:rsidRDefault="00E30154" w:rsidP="00F95566">
      <w:pPr>
        <w:pStyle w:val="ListParagraph"/>
        <w:tabs>
          <w:tab w:val="right" w:pos="9072"/>
        </w:tabs>
        <w:spacing w:before="120" w:after="120" w:line="240" w:lineRule="auto"/>
        <w:ind w:left="567"/>
        <w:jc w:val="both"/>
        <w:rPr>
          <w:rFonts w:ascii="Arial" w:hAnsi="Arial" w:cs="Arial"/>
          <w:b/>
          <w:color w:val="000000"/>
          <w:sz w:val="24"/>
          <w:szCs w:val="24"/>
          <w:lang w:eastAsia="en-GB"/>
        </w:rPr>
      </w:pPr>
      <w:r w:rsidRPr="009109F5">
        <w:rPr>
          <w:rFonts w:ascii="Arial" w:hAnsi="Arial" w:cs="Arial"/>
          <w:b/>
          <w:color w:val="000000"/>
          <w:sz w:val="24"/>
          <w:szCs w:val="24"/>
          <w:lang w:eastAsia="en-GB"/>
        </w:rPr>
        <w:t xml:space="preserve">Transition from children's to adult services. </w:t>
      </w:r>
      <w:r w:rsidRPr="009109F5">
        <w:rPr>
          <w:rFonts w:ascii="Arial" w:hAnsi="Arial" w:cs="Arial"/>
          <w:b/>
          <w:color w:val="000000"/>
          <w:sz w:val="24"/>
          <w:szCs w:val="24"/>
          <w:lang w:eastAsia="en-GB"/>
        </w:rPr>
        <w:tab/>
      </w:r>
      <w:r w:rsidRPr="009109F5">
        <w:rPr>
          <w:rFonts w:ascii="Arial" w:hAnsi="Arial" w:cs="Arial"/>
          <w:sz w:val="24"/>
          <w:szCs w:val="24"/>
        </w:rPr>
        <w:t>(Limited assurance)</w:t>
      </w:r>
    </w:p>
    <w:p w:rsidR="00874F47"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553495">
        <w:rPr>
          <w:rFonts w:ascii="Arial" w:hAnsi="Arial" w:cs="Arial"/>
          <w:sz w:val="24"/>
          <w:szCs w:val="24"/>
        </w:rPr>
        <w:t xml:space="preserve">Transition to adulthood is a key milestone for all young people. Across the county the Transitions Service supports approximately 900 young people </w:t>
      </w:r>
      <w:r>
        <w:rPr>
          <w:rFonts w:ascii="Arial" w:hAnsi="Arial" w:cs="Arial"/>
          <w:sz w:val="24"/>
          <w:szCs w:val="24"/>
        </w:rPr>
        <w:t xml:space="preserve">between </w:t>
      </w:r>
      <w:r w:rsidRPr="00553495">
        <w:rPr>
          <w:rFonts w:ascii="Arial" w:hAnsi="Arial" w:cs="Arial"/>
          <w:sz w:val="24"/>
          <w:szCs w:val="24"/>
        </w:rPr>
        <w:t xml:space="preserve">14 </w:t>
      </w:r>
      <w:r>
        <w:rPr>
          <w:rFonts w:ascii="Arial" w:hAnsi="Arial" w:cs="Arial"/>
          <w:sz w:val="24"/>
          <w:szCs w:val="24"/>
        </w:rPr>
        <w:t xml:space="preserve">and 25 </w:t>
      </w:r>
      <w:r w:rsidRPr="00553495">
        <w:rPr>
          <w:rFonts w:ascii="Arial" w:hAnsi="Arial" w:cs="Arial"/>
          <w:sz w:val="24"/>
          <w:szCs w:val="24"/>
        </w:rPr>
        <w:t xml:space="preserve">years </w:t>
      </w:r>
      <w:r>
        <w:rPr>
          <w:rFonts w:ascii="Arial" w:hAnsi="Arial" w:cs="Arial"/>
          <w:sz w:val="24"/>
          <w:szCs w:val="24"/>
        </w:rPr>
        <w:t>of age who have complex</w:t>
      </w:r>
      <w:r w:rsidRPr="005F4812">
        <w:rPr>
          <w:rFonts w:ascii="Arial" w:hAnsi="Arial" w:cs="Arial"/>
          <w:sz w:val="24"/>
          <w:szCs w:val="24"/>
        </w:rPr>
        <w:t xml:space="preserve"> </w:t>
      </w:r>
      <w:r>
        <w:rPr>
          <w:rFonts w:ascii="Arial" w:hAnsi="Arial" w:cs="Arial"/>
          <w:sz w:val="24"/>
          <w:szCs w:val="24"/>
        </w:rPr>
        <w:t xml:space="preserve">needs </w:t>
      </w:r>
      <w:r w:rsidRPr="005F4812">
        <w:rPr>
          <w:rFonts w:ascii="Arial" w:hAnsi="Arial" w:cs="Arial"/>
          <w:sz w:val="24"/>
          <w:szCs w:val="24"/>
        </w:rPr>
        <w:t xml:space="preserve">and </w:t>
      </w:r>
      <w:r>
        <w:rPr>
          <w:rFonts w:ascii="Arial" w:hAnsi="Arial" w:cs="Arial"/>
          <w:sz w:val="24"/>
          <w:szCs w:val="24"/>
        </w:rPr>
        <w:t xml:space="preserve">are highly likely to meet </w:t>
      </w:r>
      <w:r w:rsidRPr="005F4812">
        <w:rPr>
          <w:rFonts w:ascii="Arial" w:hAnsi="Arial" w:cs="Arial"/>
          <w:sz w:val="24"/>
          <w:szCs w:val="24"/>
        </w:rPr>
        <w:t xml:space="preserve">criteria for </w:t>
      </w:r>
      <w:r>
        <w:rPr>
          <w:rFonts w:ascii="Arial" w:hAnsi="Arial" w:cs="Arial"/>
          <w:sz w:val="24"/>
          <w:szCs w:val="24"/>
        </w:rPr>
        <w:t>a</w:t>
      </w:r>
      <w:r w:rsidRPr="005F4812">
        <w:rPr>
          <w:rFonts w:ascii="Arial" w:hAnsi="Arial" w:cs="Arial"/>
          <w:sz w:val="24"/>
          <w:szCs w:val="24"/>
        </w:rPr>
        <w:t xml:space="preserve">dult </w:t>
      </w:r>
      <w:r>
        <w:rPr>
          <w:rFonts w:ascii="Arial" w:hAnsi="Arial" w:cs="Arial"/>
          <w:sz w:val="24"/>
          <w:szCs w:val="24"/>
        </w:rPr>
        <w:t>s</w:t>
      </w:r>
      <w:r w:rsidRPr="005F4812">
        <w:rPr>
          <w:rFonts w:ascii="Arial" w:hAnsi="Arial" w:cs="Arial"/>
          <w:sz w:val="24"/>
          <w:szCs w:val="24"/>
        </w:rPr>
        <w:t xml:space="preserve">ocial </w:t>
      </w:r>
      <w:r>
        <w:rPr>
          <w:rFonts w:ascii="Arial" w:hAnsi="Arial" w:cs="Arial"/>
          <w:sz w:val="24"/>
          <w:szCs w:val="24"/>
        </w:rPr>
        <w:t>c</w:t>
      </w:r>
      <w:r w:rsidRPr="005F4812">
        <w:rPr>
          <w:rFonts w:ascii="Arial" w:hAnsi="Arial" w:cs="Arial"/>
          <w:sz w:val="24"/>
          <w:szCs w:val="24"/>
        </w:rPr>
        <w:t>are support.</w:t>
      </w:r>
      <w:r w:rsidRPr="00553495">
        <w:rPr>
          <w:rFonts w:ascii="Arial" w:hAnsi="Arial" w:cs="Arial"/>
          <w:sz w:val="24"/>
          <w:szCs w:val="24"/>
        </w:rPr>
        <w:t xml:space="preserve"> </w:t>
      </w:r>
      <w:r>
        <w:rPr>
          <w:rFonts w:ascii="Arial" w:hAnsi="Arial" w:cs="Arial"/>
          <w:sz w:val="24"/>
          <w:szCs w:val="24"/>
        </w:rPr>
        <w:t xml:space="preserve">The service </w:t>
      </w:r>
      <w:r w:rsidRPr="00553495">
        <w:rPr>
          <w:rFonts w:ascii="Arial" w:hAnsi="Arial" w:cs="Arial"/>
          <w:sz w:val="24"/>
          <w:szCs w:val="24"/>
        </w:rPr>
        <w:t xml:space="preserve">delivers statutory services for </w:t>
      </w:r>
      <w:r>
        <w:rPr>
          <w:rFonts w:ascii="Arial" w:hAnsi="Arial" w:cs="Arial"/>
          <w:sz w:val="24"/>
          <w:szCs w:val="24"/>
        </w:rPr>
        <w:t xml:space="preserve">children and </w:t>
      </w:r>
      <w:r w:rsidRPr="00553495">
        <w:rPr>
          <w:rFonts w:ascii="Arial" w:hAnsi="Arial" w:cs="Arial"/>
          <w:sz w:val="24"/>
          <w:szCs w:val="24"/>
        </w:rPr>
        <w:t xml:space="preserve">young </w:t>
      </w:r>
      <w:r>
        <w:rPr>
          <w:rFonts w:ascii="Arial" w:hAnsi="Arial" w:cs="Arial"/>
          <w:sz w:val="24"/>
          <w:szCs w:val="24"/>
        </w:rPr>
        <w:t xml:space="preserve">adults </w:t>
      </w:r>
      <w:r w:rsidRPr="00553495">
        <w:rPr>
          <w:rFonts w:ascii="Arial" w:hAnsi="Arial" w:cs="Arial"/>
          <w:sz w:val="24"/>
          <w:szCs w:val="24"/>
        </w:rPr>
        <w:t>including those with special educational needs and disabilities</w:t>
      </w:r>
      <w:r>
        <w:rPr>
          <w:rFonts w:ascii="Arial" w:hAnsi="Arial" w:cs="Arial"/>
          <w:sz w:val="24"/>
          <w:szCs w:val="24"/>
        </w:rPr>
        <w:t>.</w:t>
      </w:r>
    </w:p>
    <w:p w:rsidR="00874F47" w:rsidRPr="002130F2"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2130F2">
        <w:rPr>
          <w:rFonts w:ascii="Arial" w:hAnsi="Arial" w:cs="Arial"/>
          <w:sz w:val="24"/>
          <w:szCs w:val="24"/>
        </w:rPr>
        <w:t>Although the Transitions Service maintains a five year forecast of transitions cases, this does not support timely planning as it does not set out what stage of the process the young person is at, or what action will be required and when. The service is often not involved until a young person's seventeenth year and support plans are frequently not in place until after their eighteenth birthday, and as a result the most cost efficient packages of care are not always provided.</w:t>
      </w:r>
    </w:p>
    <w:p w:rsidR="00874F47" w:rsidRPr="002130F2"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C</w:t>
      </w:r>
      <w:r w:rsidRPr="002130F2">
        <w:rPr>
          <w:rFonts w:ascii="Arial" w:hAnsi="Arial" w:cs="Arial"/>
          <w:sz w:val="24"/>
          <w:szCs w:val="24"/>
        </w:rPr>
        <w:t xml:space="preserve">oncerns have </w:t>
      </w:r>
      <w:r>
        <w:rPr>
          <w:rFonts w:ascii="Arial" w:hAnsi="Arial" w:cs="Arial"/>
          <w:sz w:val="24"/>
          <w:szCs w:val="24"/>
        </w:rPr>
        <w:t xml:space="preserve">also </w:t>
      </w:r>
      <w:r w:rsidRPr="002130F2">
        <w:rPr>
          <w:rFonts w:ascii="Arial" w:hAnsi="Arial" w:cs="Arial"/>
          <w:sz w:val="24"/>
          <w:szCs w:val="24"/>
        </w:rPr>
        <w:t xml:space="preserve">been raised by senior managers in both Children's and Adult Services about the lack of the engagement of all stakeholders, and carers and parents have complained about the council's ineffective communication. Although some information is available on the public-facing internet this is limited in scope and does not clearly communicate the transition process. </w:t>
      </w:r>
    </w:p>
    <w:p w:rsidR="00874F47"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567505">
        <w:rPr>
          <w:rFonts w:ascii="Arial" w:hAnsi="Arial" w:cs="Arial"/>
          <w:sz w:val="24"/>
          <w:szCs w:val="24"/>
        </w:rPr>
        <w:t xml:space="preserve">Although a policy and guidance are in place, different versions of the same documents are recorded on the Children's and Adults Services intranet webpages and it is unclear whether they both comply with all current policy and legislation. The policy and guidance are unclear on the roles and responsibilities of those responsible for transitions work and the lack of clarity has led to key tasks not being completed. </w:t>
      </w:r>
    </w:p>
    <w:p w:rsidR="002179C2"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567505">
        <w:rPr>
          <w:rFonts w:ascii="Arial" w:hAnsi="Arial" w:cs="Arial"/>
          <w:sz w:val="24"/>
          <w:szCs w:val="24"/>
        </w:rPr>
        <w:t xml:space="preserve">For example duplicate payments have been made where payments to young people or their carers have not been ended on </w:t>
      </w:r>
      <w:proofErr w:type="spellStart"/>
      <w:r w:rsidRPr="00567505">
        <w:rPr>
          <w:rFonts w:ascii="Arial" w:hAnsi="Arial" w:cs="Arial"/>
          <w:sz w:val="24"/>
          <w:szCs w:val="24"/>
        </w:rPr>
        <w:t>Liquidlogic</w:t>
      </w:r>
      <w:proofErr w:type="spellEnd"/>
      <w:r w:rsidRPr="00567505">
        <w:rPr>
          <w:rFonts w:ascii="Arial" w:hAnsi="Arial" w:cs="Arial"/>
          <w:sz w:val="24"/>
          <w:szCs w:val="24"/>
        </w:rPr>
        <w:t xml:space="preserve"> Children's System (LCS) when they have also later been set up on </w:t>
      </w:r>
      <w:proofErr w:type="spellStart"/>
      <w:r w:rsidRPr="00567505">
        <w:rPr>
          <w:rFonts w:ascii="Arial" w:hAnsi="Arial" w:cs="Arial"/>
          <w:sz w:val="24"/>
          <w:szCs w:val="24"/>
        </w:rPr>
        <w:t>Liquidlogic</w:t>
      </w:r>
      <w:proofErr w:type="spellEnd"/>
      <w:r w:rsidRPr="00567505">
        <w:rPr>
          <w:rFonts w:ascii="Arial" w:hAnsi="Arial" w:cs="Arial"/>
          <w:sz w:val="24"/>
          <w:szCs w:val="24"/>
        </w:rPr>
        <w:t xml:space="preserve"> Adult System (LAS). Locality board meetings held to discuss transition cases do not always take place and are inconsistently recorded.</w:t>
      </w:r>
    </w:p>
    <w:p w:rsidR="002179C2" w:rsidRDefault="002179C2">
      <w:pPr>
        <w:spacing w:line="240" w:lineRule="auto"/>
        <w:rPr>
          <w:rFonts w:ascii="Arial" w:hAnsi="Arial" w:cs="Arial"/>
          <w:sz w:val="24"/>
          <w:szCs w:val="24"/>
        </w:rPr>
      </w:pPr>
      <w:r>
        <w:rPr>
          <w:rFonts w:ascii="Arial" w:hAnsi="Arial" w:cs="Arial"/>
          <w:sz w:val="24"/>
          <w:szCs w:val="24"/>
        </w:rPr>
        <w:br w:type="page"/>
      </w:r>
    </w:p>
    <w:p w:rsidR="00874F47" w:rsidRDefault="00BB583A"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p>
    <w:p w:rsidR="00175122" w:rsidRDefault="00E30154" w:rsidP="00F95566">
      <w:pPr>
        <w:pStyle w:val="ListParagraph"/>
        <w:tabs>
          <w:tab w:val="right" w:pos="9072"/>
        </w:tabs>
        <w:spacing w:before="120" w:line="240" w:lineRule="auto"/>
        <w:ind w:left="567"/>
        <w:jc w:val="both"/>
        <w:rPr>
          <w:rFonts w:ascii="Arial" w:hAnsi="Arial" w:cs="Arial"/>
          <w:b/>
          <w:color w:val="000000"/>
          <w:sz w:val="24"/>
          <w:szCs w:val="24"/>
          <w:lang w:eastAsia="en-GB"/>
        </w:rPr>
      </w:pPr>
      <w:r w:rsidRPr="00A53662">
        <w:rPr>
          <w:rFonts w:ascii="Arial" w:hAnsi="Arial" w:cs="Arial"/>
          <w:b/>
          <w:color w:val="000000"/>
          <w:sz w:val="24"/>
          <w:szCs w:val="24"/>
          <w:lang w:eastAsia="en-GB"/>
        </w:rPr>
        <w:t>Health and safety of the council's properties</w:t>
      </w:r>
      <w:r>
        <w:rPr>
          <w:rFonts w:ascii="Arial" w:hAnsi="Arial" w:cs="Arial"/>
          <w:b/>
          <w:color w:val="000000"/>
          <w:sz w:val="24"/>
          <w:szCs w:val="24"/>
          <w:lang w:eastAsia="en-GB"/>
        </w:rPr>
        <w:t xml:space="preserve"> (premises compliance)</w:t>
      </w:r>
    </w:p>
    <w:p w:rsidR="00A53662" w:rsidRPr="00A53662" w:rsidRDefault="00E30154" w:rsidP="00F95566">
      <w:pPr>
        <w:pStyle w:val="ListParagraph"/>
        <w:tabs>
          <w:tab w:val="right" w:pos="9072"/>
        </w:tabs>
        <w:spacing w:after="120" w:line="240" w:lineRule="auto"/>
        <w:ind w:left="567"/>
        <w:jc w:val="both"/>
        <w:rPr>
          <w:rFonts w:ascii="Arial" w:hAnsi="Arial" w:cs="Arial"/>
          <w:b/>
          <w:color w:val="000000"/>
          <w:sz w:val="24"/>
          <w:szCs w:val="24"/>
          <w:lang w:eastAsia="en-GB"/>
        </w:rPr>
      </w:pPr>
      <w:r w:rsidRPr="00A53662">
        <w:rPr>
          <w:rFonts w:ascii="Arial" w:hAnsi="Arial" w:cs="Arial"/>
          <w:color w:val="000000"/>
          <w:sz w:val="24"/>
          <w:szCs w:val="24"/>
          <w:lang w:eastAsia="en-GB"/>
        </w:rPr>
        <w:tab/>
        <w:t>(Limited assurance)</w:t>
      </w:r>
    </w:p>
    <w:p w:rsidR="00175122"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 xml:space="preserve">The Asset Management service's Compliance Team was formed in February 2017 when responsibility for corporate oversight of premises was passed to the service. The team </w:t>
      </w:r>
      <w:r w:rsidRPr="00175122">
        <w:rPr>
          <w:rFonts w:ascii="Arial" w:hAnsi="Arial" w:cs="Arial"/>
          <w:sz w:val="24"/>
          <w:szCs w:val="24"/>
        </w:rPr>
        <w:t xml:space="preserve">conducts a quality assurance process to ensure that the authority can demonstrate that it complies with </w:t>
      </w:r>
      <w:r>
        <w:rPr>
          <w:rFonts w:ascii="Arial" w:hAnsi="Arial" w:cs="Arial"/>
          <w:sz w:val="24"/>
          <w:szCs w:val="24"/>
        </w:rPr>
        <w:t xml:space="preserve">a range of legislative and regulatory requirements and </w:t>
      </w:r>
      <w:r w:rsidRPr="00175122">
        <w:rPr>
          <w:rFonts w:ascii="Arial" w:hAnsi="Arial" w:cs="Arial"/>
          <w:sz w:val="24"/>
          <w:szCs w:val="24"/>
        </w:rPr>
        <w:t xml:space="preserve">that the register of property assets is utilised </w:t>
      </w:r>
      <w:r>
        <w:rPr>
          <w:rFonts w:ascii="Arial" w:hAnsi="Arial" w:cs="Arial"/>
          <w:sz w:val="24"/>
          <w:szCs w:val="24"/>
        </w:rPr>
        <w:t xml:space="preserve">to inform risk-based inspection planning. At the same time a 'continuous compliance' approach is being developed to reduce reliance on </w:t>
      </w:r>
      <w:r w:rsidRPr="00175122">
        <w:rPr>
          <w:rFonts w:ascii="Arial" w:hAnsi="Arial" w:cs="Arial"/>
          <w:sz w:val="24"/>
          <w:szCs w:val="24"/>
        </w:rPr>
        <w:t>annual return</w:t>
      </w:r>
      <w:r>
        <w:rPr>
          <w:rFonts w:ascii="Arial" w:hAnsi="Arial" w:cs="Arial"/>
          <w:sz w:val="24"/>
          <w:szCs w:val="24"/>
        </w:rPr>
        <w:t>s</w:t>
      </w:r>
      <w:r w:rsidRPr="00175122">
        <w:rPr>
          <w:rFonts w:ascii="Arial" w:hAnsi="Arial" w:cs="Arial"/>
          <w:sz w:val="24"/>
          <w:szCs w:val="24"/>
        </w:rPr>
        <w:t xml:space="preserve"> and so reduce the risk of non-compliant premises. As part of this approach</w:t>
      </w:r>
      <w:r>
        <w:rPr>
          <w:rFonts w:ascii="Arial" w:hAnsi="Arial" w:cs="Arial"/>
          <w:sz w:val="24"/>
          <w:szCs w:val="24"/>
        </w:rPr>
        <w:t xml:space="preserve"> premises managers will maintain information on the new Property Asset Management System (PAMS), which will be reviewed by the Compliance Team.</w:t>
      </w:r>
    </w:p>
    <w:p w:rsidR="00BB2302"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At the time of our audit</w:t>
      </w:r>
      <w:r w:rsidRPr="00D020D2">
        <w:rPr>
          <w:rFonts w:ascii="Arial" w:hAnsi="Arial" w:cs="Arial"/>
          <w:sz w:val="24"/>
          <w:szCs w:val="24"/>
        </w:rPr>
        <w:t xml:space="preserve"> there </w:t>
      </w:r>
      <w:r>
        <w:rPr>
          <w:rFonts w:ascii="Arial" w:hAnsi="Arial" w:cs="Arial"/>
          <w:sz w:val="24"/>
          <w:szCs w:val="24"/>
        </w:rPr>
        <w:t xml:space="preserve">was </w:t>
      </w:r>
      <w:r w:rsidRPr="00D020D2">
        <w:rPr>
          <w:rFonts w:ascii="Arial" w:hAnsi="Arial" w:cs="Arial"/>
          <w:sz w:val="24"/>
          <w:szCs w:val="24"/>
        </w:rPr>
        <w:t xml:space="preserve">not a complete, definitive list of properties that ought to fall under the inspection regime and, although inspections </w:t>
      </w:r>
      <w:r>
        <w:rPr>
          <w:rFonts w:ascii="Arial" w:hAnsi="Arial" w:cs="Arial"/>
          <w:sz w:val="24"/>
          <w:szCs w:val="24"/>
        </w:rPr>
        <w:t>we</w:t>
      </w:r>
      <w:r w:rsidRPr="00D020D2">
        <w:rPr>
          <w:rFonts w:ascii="Arial" w:hAnsi="Arial" w:cs="Arial"/>
          <w:sz w:val="24"/>
          <w:szCs w:val="24"/>
        </w:rPr>
        <w:t xml:space="preserve">re being carried out, it </w:t>
      </w:r>
      <w:r>
        <w:rPr>
          <w:rFonts w:ascii="Arial" w:hAnsi="Arial" w:cs="Arial"/>
          <w:sz w:val="24"/>
          <w:szCs w:val="24"/>
        </w:rPr>
        <w:t xml:space="preserve">was </w:t>
      </w:r>
      <w:r w:rsidRPr="00D020D2">
        <w:rPr>
          <w:rFonts w:ascii="Arial" w:hAnsi="Arial" w:cs="Arial"/>
          <w:sz w:val="24"/>
          <w:szCs w:val="24"/>
        </w:rPr>
        <w:t>not clear that they cover</w:t>
      </w:r>
      <w:r>
        <w:rPr>
          <w:rFonts w:ascii="Arial" w:hAnsi="Arial" w:cs="Arial"/>
          <w:sz w:val="24"/>
          <w:szCs w:val="24"/>
        </w:rPr>
        <w:t>ed</w:t>
      </w:r>
      <w:r w:rsidRPr="00D020D2">
        <w:rPr>
          <w:rFonts w:ascii="Arial" w:hAnsi="Arial" w:cs="Arial"/>
          <w:sz w:val="24"/>
          <w:szCs w:val="24"/>
        </w:rPr>
        <w:t xml:space="preserve"> the riskiest properties across the county. </w:t>
      </w:r>
      <w:r>
        <w:rPr>
          <w:rFonts w:ascii="Arial" w:hAnsi="Arial" w:cs="Arial"/>
          <w:sz w:val="24"/>
          <w:szCs w:val="24"/>
        </w:rPr>
        <w:t xml:space="preserve">Managers have since informed us that both these issues have now been addressed and that inspections are now prioritised according to risk, based on the vulnerability of property occupants. A number of other actions are also being taken or are planned to improve the inspection regime, including requests for amendments to PAMS to support the introduction of continuous compliance. </w:t>
      </w:r>
      <w:r w:rsidRPr="00D020D2">
        <w:rPr>
          <w:rFonts w:ascii="Arial" w:hAnsi="Arial" w:cs="Arial"/>
          <w:sz w:val="24"/>
          <w:szCs w:val="24"/>
        </w:rPr>
        <w:t>We have not audited the current inspection programme's effectiveness or progress</w:t>
      </w:r>
      <w:r>
        <w:rPr>
          <w:rFonts w:ascii="Arial" w:hAnsi="Arial" w:cs="Arial"/>
          <w:sz w:val="24"/>
          <w:szCs w:val="24"/>
        </w:rPr>
        <w:t>, but will audit the new approach in 2018/19 once it has been embedded.</w:t>
      </w:r>
      <w:r w:rsidRPr="00D020D2">
        <w:rPr>
          <w:rFonts w:ascii="Arial" w:hAnsi="Arial" w:cs="Arial"/>
          <w:sz w:val="24"/>
          <w:szCs w:val="24"/>
        </w:rPr>
        <w:t xml:space="preserve"> </w:t>
      </w:r>
    </w:p>
    <w:p w:rsidR="00D020D2" w:rsidRPr="00D020D2"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D020D2">
        <w:rPr>
          <w:rFonts w:ascii="Arial" w:hAnsi="Arial" w:cs="Arial"/>
          <w:sz w:val="24"/>
          <w:szCs w:val="24"/>
        </w:rPr>
        <w:t>The objective that the council's property portfolio is compliant with health and safety legislation and statutory building regulations is therefore at risk</w:t>
      </w:r>
      <w:r>
        <w:rPr>
          <w:rFonts w:ascii="Arial" w:hAnsi="Arial" w:cs="Arial"/>
          <w:sz w:val="24"/>
          <w:szCs w:val="24"/>
        </w:rPr>
        <w:t>, but action is being taken by this</w:t>
      </w:r>
      <w:r w:rsidRPr="00D020D2">
        <w:rPr>
          <w:rFonts w:ascii="Arial" w:hAnsi="Arial" w:cs="Arial"/>
          <w:sz w:val="24"/>
          <w:szCs w:val="24"/>
        </w:rPr>
        <w:t xml:space="preserve"> relatively new team </w:t>
      </w:r>
      <w:r>
        <w:rPr>
          <w:rFonts w:ascii="Arial" w:hAnsi="Arial" w:cs="Arial"/>
          <w:sz w:val="24"/>
          <w:szCs w:val="24"/>
        </w:rPr>
        <w:t xml:space="preserve">to </w:t>
      </w:r>
      <w:r w:rsidRPr="00D020D2">
        <w:rPr>
          <w:rFonts w:ascii="Arial" w:hAnsi="Arial" w:cs="Arial"/>
          <w:sz w:val="24"/>
          <w:szCs w:val="24"/>
        </w:rPr>
        <w:t>develop and implement new planning, inspection and reporting procedures</w:t>
      </w:r>
      <w:r>
        <w:rPr>
          <w:rFonts w:ascii="Arial" w:hAnsi="Arial" w:cs="Arial"/>
          <w:sz w:val="24"/>
          <w:szCs w:val="24"/>
        </w:rPr>
        <w:t xml:space="preserve"> that will be put in place over the </w:t>
      </w:r>
      <w:r w:rsidRPr="009F5F4B">
        <w:rPr>
          <w:rFonts w:ascii="Arial" w:hAnsi="Arial" w:cs="Arial"/>
          <w:sz w:val="24"/>
          <w:szCs w:val="24"/>
        </w:rPr>
        <w:t>coming months.</w:t>
      </w:r>
    </w:p>
    <w:p w:rsidR="000E25BE" w:rsidRDefault="00E30154" w:rsidP="00F95566">
      <w:pPr>
        <w:pStyle w:val="ListParagraph"/>
        <w:tabs>
          <w:tab w:val="right" w:pos="9072"/>
        </w:tabs>
        <w:spacing w:before="120" w:after="120" w:line="240" w:lineRule="auto"/>
        <w:ind w:left="567"/>
        <w:jc w:val="both"/>
        <w:rPr>
          <w:rFonts w:ascii="Arial" w:hAnsi="Arial" w:cs="Arial"/>
          <w:b/>
          <w:color w:val="000000"/>
          <w:sz w:val="24"/>
          <w:szCs w:val="24"/>
          <w:lang w:eastAsia="en-GB"/>
        </w:rPr>
      </w:pPr>
      <w:r>
        <w:rPr>
          <w:rFonts w:ascii="Arial" w:hAnsi="Arial" w:cs="Arial"/>
          <w:b/>
          <w:color w:val="000000"/>
          <w:sz w:val="24"/>
          <w:szCs w:val="24"/>
          <w:lang w:eastAsia="en-GB"/>
        </w:rPr>
        <w:t xml:space="preserve">Accounts payable: central controls </w:t>
      </w:r>
      <w:r>
        <w:rPr>
          <w:rFonts w:ascii="Arial" w:hAnsi="Arial" w:cs="Arial"/>
          <w:b/>
          <w:color w:val="000000"/>
          <w:sz w:val="24"/>
          <w:szCs w:val="24"/>
          <w:lang w:eastAsia="en-GB"/>
        </w:rPr>
        <w:tab/>
      </w:r>
      <w:r w:rsidRPr="000A2DC0">
        <w:rPr>
          <w:rFonts w:ascii="Arial" w:hAnsi="Arial" w:cs="Arial"/>
          <w:color w:val="000000"/>
          <w:sz w:val="24"/>
          <w:szCs w:val="24"/>
          <w:lang w:eastAsia="en-GB"/>
        </w:rPr>
        <w:t>(</w:t>
      </w:r>
      <w:r>
        <w:rPr>
          <w:rFonts w:ascii="Arial" w:hAnsi="Arial" w:cs="Arial"/>
          <w:color w:val="000000"/>
          <w:sz w:val="24"/>
          <w:szCs w:val="24"/>
          <w:lang w:eastAsia="en-GB"/>
        </w:rPr>
        <w:t>Substantial</w:t>
      </w:r>
      <w:r w:rsidRPr="000A2DC0">
        <w:rPr>
          <w:rFonts w:ascii="Arial" w:hAnsi="Arial" w:cs="Arial"/>
          <w:color w:val="000000"/>
          <w:sz w:val="24"/>
          <w:szCs w:val="24"/>
          <w:lang w:eastAsia="en-GB"/>
        </w:rPr>
        <w:t xml:space="preserve"> assurance</w:t>
      </w:r>
      <w:r>
        <w:rPr>
          <w:rFonts w:ascii="Arial" w:hAnsi="Arial" w:cs="Arial"/>
          <w:color w:val="000000"/>
          <w:sz w:val="24"/>
          <w:szCs w:val="24"/>
          <w:lang w:eastAsia="en-GB"/>
        </w:rPr>
        <w:t>)</w:t>
      </w:r>
    </w:p>
    <w:p w:rsidR="001D04E4" w:rsidRPr="00F5345E"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AB50C8">
        <w:rPr>
          <w:rFonts w:ascii="Arial" w:hAnsi="Arial" w:cs="Arial"/>
          <w:sz w:val="24"/>
          <w:szCs w:val="24"/>
        </w:rPr>
        <w:t xml:space="preserve">The council uses the Oracle system to process invoices and payments and users are required to </w:t>
      </w:r>
      <w:r w:rsidRPr="00F5345E">
        <w:rPr>
          <w:rFonts w:ascii="Arial" w:hAnsi="Arial" w:cs="Arial"/>
          <w:sz w:val="24"/>
          <w:szCs w:val="24"/>
        </w:rPr>
        <w:t xml:space="preserve">raise and approve requisitions for expenditure on this system wherever possible using </w:t>
      </w:r>
      <w:proofErr w:type="gramStart"/>
      <w:r w:rsidRPr="00F5345E">
        <w:rPr>
          <w:rFonts w:ascii="Arial" w:hAnsi="Arial" w:cs="Arial"/>
          <w:sz w:val="24"/>
          <w:szCs w:val="24"/>
        </w:rPr>
        <w:t>its i</w:t>
      </w:r>
      <w:proofErr w:type="gramEnd"/>
      <w:r w:rsidRPr="00F5345E">
        <w:rPr>
          <w:rFonts w:ascii="Arial" w:hAnsi="Arial" w:cs="Arial"/>
          <w:sz w:val="24"/>
          <w:szCs w:val="24"/>
        </w:rPr>
        <w:t>-Procurement module. Exchequer Services match invoices to approved requisitions and process them for payment: invoices made without purchase orders are manually batched and authorised before Exchequer Services process the payments. Payments can also be made using the PRO system where invoices are not provided (for example for business rates on the council's properties).</w:t>
      </w:r>
    </w:p>
    <w:p w:rsidR="00AB50C8" w:rsidRPr="00F5345E"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AB50C8">
        <w:rPr>
          <w:rFonts w:ascii="Arial" w:hAnsi="Arial" w:cs="Arial"/>
          <w:sz w:val="24"/>
          <w:szCs w:val="24"/>
        </w:rPr>
        <w:t xml:space="preserve">Our testing of 40 i-procurement invoices, 40 manual invoices and 20 payments with no invoices found no inappropriate purchases </w:t>
      </w:r>
      <w:r>
        <w:rPr>
          <w:rFonts w:ascii="Arial" w:hAnsi="Arial" w:cs="Arial"/>
          <w:sz w:val="24"/>
          <w:szCs w:val="24"/>
        </w:rPr>
        <w:t>and none</w:t>
      </w:r>
      <w:r w:rsidRPr="00AB50C8">
        <w:rPr>
          <w:rFonts w:ascii="Arial" w:hAnsi="Arial" w:cs="Arial"/>
          <w:sz w:val="24"/>
          <w:szCs w:val="24"/>
        </w:rPr>
        <w:t xml:space="preserve"> that did not relate to council services. All payments in excess of £50,000 were held and verified before being processed, and duplicate payment software is being used effectively. Controls over retrospective orders will be improved when new guidance is approved and released very soon.</w:t>
      </w:r>
    </w:p>
    <w:p w:rsidR="000E25BE"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F5345E">
        <w:rPr>
          <w:rFonts w:ascii="Arial" w:hAnsi="Arial" w:cs="Arial"/>
          <w:sz w:val="24"/>
          <w:szCs w:val="24"/>
        </w:rPr>
        <w:t xml:space="preserve">However controls over manual invoice batches do not comply with the council's procedures. Further, although improved procedures for </w:t>
      </w:r>
      <w:r w:rsidRPr="00AB50C8">
        <w:rPr>
          <w:rFonts w:ascii="Arial" w:hAnsi="Arial" w:cs="Arial"/>
          <w:sz w:val="24"/>
          <w:szCs w:val="24"/>
        </w:rPr>
        <w:t>changing suppliers' bank account details have been implemented, we are aware of one instance where a fraud of £23,000</w:t>
      </w:r>
      <w:r>
        <w:rPr>
          <w:rFonts w:ascii="Arial" w:hAnsi="Arial" w:cs="Arial"/>
          <w:sz w:val="24"/>
          <w:szCs w:val="24"/>
        </w:rPr>
        <w:t xml:space="preserve"> </w:t>
      </w:r>
      <w:r w:rsidRPr="00AB50C8">
        <w:rPr>
          <w:rFonts w:ascii="Arial" w:hAnsi="Arial" w:cs="Arial"/>
          <w:sz w:val="24"/>
          <w:szCs w:val="24"/>
        </w:rPr>
        <w:t xml:space="preserve">has been perpetrated </w:t>
      </w:r>
      <w:r>
        <w:rPr>
          <w:rFonts w:ascii="Arial" w:hAnsi="Arial" w:cs="Arial"/>
          <w:sz w:val="24"/>
          <w:szCs w:val="24"/>
        </w:rPr>
        <w:t xml:space="preserve">against the council </w:t>
      </w:r>
      <w:r w:rsidRPr="00AB50C8">
        <w:rPr>
          <w:rFonts w:ascii="Arial" w:hAnsi="Arial" w:cs="Arial"/>
          <w:sz w:val="24"/>
          <w:szCs w:val="24"/>
        </w:rPr>
        <w:t>as a result of an officer</w:t>
      </w:r>
      <w:r>
        <w:rPr>
          <w:rFonts w:ascii="Arial" w:hAnsi="Arial" w:cs="Arial"/>
          <w:sz w:val="24"/>
          <w:szCs w:val="24"/>
        </w:rPr>
        <w:t>'s</w:t>
      </w:r>
      <w:r w:rsidRPr="00AB50C8">
        <w:rPr>
          <w:rFonts w:ascii="Arial" w:hAnsi="Arial" w:cs="Arial"/>
          <w:sz w:val="24"/>
          <w:szCs w:val="24"/>
        </w:rPr>
        <w:t xml:space="preserve"> failure of to follow those procedures correctly.</w:t>
      </w:r>
    </w:p>
    <w:p w:rsidR="004E5A0A" w:rsidRPr="00926816" w:rsidRDefault="00E30154" w:rsidP="00F95566">
      <w:pPr>
        <w:pStyle w:val="ListParagraph"/>
        <w:tabs>
          <w:tab w:val="right" w:pos="9072"/>
        </w:tabs>
        <w:spacing w:before="120" w:after="120" w:line="240" w:lineRule="auto"/>
        <w:ind w:left="567"/>
        <w:jc w:val="both"/>
        <w:rPr>
          <w:rFonts w:ascii="Arial" w:hAnsi="Arial" w:cs="Arial"/>
          <w:b/>
          <w:color w:val="000000"/>
          <w:sz w:val="24"/>
          <w:szCs w:val="24"/>
          <w:lang w:eastAsia="en-GB"/>
        </w:rPr>
      </w:pPr>
      <w:r>
        <w:rPr>
          <w:rFonts w:ascii="Arial" w:hAnsi="Arial" w:cs="Arial"/>
          <w:b/>
          <w:color w:val="000000"/>
          <w:sz w:val="24"/>
          <w:szCs w:val="24"/>
          <w:lang w:eastAsia="en-GB"/>
        </w:rPr>
        <w:t>Treasury management</w:t>
      </w:r>
      <w:r w:rsidRPr="000A2DC0">
        <w:rPr>
          <w:rFonts w:ascii="Arial" w:hAnsi="Arial" w:cs="Arial"/>
          <w:color w:val="000000"/>
          <w:sz w:val="24"/>
          <w:szCs w:val="24"/>
          <w:lang w:eastAsia="en-GB"/>
        </w:rPr>
        <w:tab/>
        <w:t>(</w:t>
      </w:r>
      <w:r>
        <w:rPr>
          <w:rFonts w:ascii="Arial" w:hAnsi="Arial" w:cs="Arial"/>
          <w:color w:val="000000"/>
          <w:sz w:val="24"/>
          <w:szCs w:val="24"/>
          <w:lang w:eastAsia="en-GB"/>
        </w:rPr>
        <w:t>Substantial</w:t>
      </w:r>
      <w:r w:rsidRPr="000A2DC0">
        <w:rPr>
          <w:rFonts w:ascii="Arial" w:hAnsi="Arial" w:cs="Arial"/>
          <w:color w:val="000000"/>
          <w:sz w:val="24"/>
          <w:szCs w:val="24"/>
          <w:lang w:eastAsia="en-GB"/>
        </w:rPr>
        <w:t xml:space="preserve"> assurance</w:t>
      </w:r>
      <w:r>
        <w:rPr>
          <w:rFonts w:ascii="Arial" w:hAnsi="Arial" w:cs="Arial"/>
          <w:color w:val="000000"/>
          <w:sz w:val="24"/>
          <w:szCs w:val="24"/>
          <w:lang w:eastAsia="en-GB"/>
        </w:rPr>
        <w:t>)</w:t>
      </w:r>
    </w:p>
    <w:p w:rsidR="0026277D" w:rsidRPr="0026277D"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 xml:space="preserve">Despite recent reductions in its reserves, and therefore also investments, the council </w:t>
      </w:r>
      <w:r w:rsidRPr="0026277D">
        <w:rPr>
          <w:rFonts w:ascii="Arial" w:hAnsi="Arial" w:cs="Arial"/>
          <w:sz w:val="24"/>
          <w:szCs w:val="24"/>
        </w:rPr>
        <w:t>held investments at 30 November 2017 of £472.1 million in total, consisting of £107.8 million in bank and local authority deposits and £364.3 million in bonds. In the four months from 1 August to 30 November a total of £351 million investments matured, and new investments of £298 million were made. As at 30 November, the council's total borrowing amounted to £1,189.6 million</w:t>
      </w:r>
      <w:r>
        <w:rPr>
          <w:rFonts w:ascii="Arial" w:hAnsi="Arial" w:cs="Arial"/>
          <w:sz w:val="24"/>
          <w:szCs w:val="24"/>
        </w:rPr>
        <w:t xml:space="preserve"> and t</w:t>
      </w:r>
      <w:r w:rsidRPr="0026277D">
        <w:rPr>
          <w:rFonts w:ascii="Arial" w:hAnsi="Arial" w:cs="Arial"/>
          <w:sz w:val="24"/>
          <w:szCs w:val="24"/>
        </w:rPr>
        <w:t xml:space="preserve">he net financing charges for 2017/18 are budgeted </w:t>
      </w:r>
      <w:r w:rsidRPr="009500BF">
        <w:rPr>
          <w:rFonts w:ascii="Arial" w:hAnsi="Arial" w:cs="Arial"/>
          <w:sz w:val="24"/>
          <w:szCs w:val="24"/>
        </w:rPr>
        <w:t xml:space="preserve">at £36.7 million although </w:t>
      </w:r>
      <w:r w:rsidRPr="0026277D">
        <w:rPr>
          <w:rFonts w:ascii="Arial" w:hAnsi="Arial" w:cs="Arial"/>
          <w:sz w:val="24"/>
          <w:szCs w:val="24"/>
        </w:rPr>
        <w:t>the current forecast is to spend £3.9 million less than this.</w:t>
      </w:r>
    </w:p>
    <w:p w:rsidR="00526D3D"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9500BF">
        <w:rPr>
          <w:rFonts w:ascii="Arial" w:hAnsi="Arial" w:cs="Arial"/>
          <w:sz w:val="24"/>
          <w:szCs w:val="24"/>
        </w:rPr>
        <w:t>The council's Treasury Management Strategy, Policy and the associated procedures contained in Treasury Management Practices are reviewed annually and approved by councillors. The Treasury Management Strategy is being properly applied, with adequate supporting records and documentation for each investment decision. A daily cash flow forecasting exercise identifies the funds available for investment, or the borrowing requirement. Monthly meetings are held between senior officers in the treasury management team and the director of finance to monitor key areas of treasury management activity and performance.</w:t>
      </w:r>
    </w:p>
    <w:p w:rsidR="0070117E" w:rsidRPr="0070117E" w:rsidRDefault="00E30154" w:rsidP="00F95566">
      <w:pPr>
        <w:pStyle w:val="ListParagraph"/>
        <w:tabs>
          <w:tab w:val="right" w:pos="9072"/>
        </w:tabs>
        <w:spacing w:before="120" w:after="120" w:line="240" w:lineRule="auto"/>
        <w:ind w:left="567"/>
        <w:jc w:val="both"/>
        <w:rPr>
          <w:rFonts w:ascii="Arial" w:hAnsi="Arial" w:cs="Arial"/>
          <w:b/>
          <w:color w:val="000000"/>
          <w:sz w:val="24"/>
          <w:szCs w:val="24"/>
          <w:lang w:eastAsia="en-GB"/>
        </w:rPr>
      </w:pPr>
      <w:r>
        <w:rPr>
          <w:rFonts w:ascii="Arial" w:hAnsi="Arial" w:cs="Arial"/>
          <w:b/>
          <w:color w:val="000000"/>
          <w:sz w:val="24"/>
          <w:szCs w:val="24"/>
          <w:lang w:eastAsia="en-GB"/>
        </w:rPr>
        <w:t>P</w:t>
      </w:r>
      <w:r w:rsidRPr="007959C0">
        <w:rPr>
          <w:rFonts w:ascii="Arial" w:hAnsi="Arial" w:cs="Arial"/>
          <w:b/>
          <w:color w:val="000000"/>
          <w:sz w:val="24"/>
          <w:szCs w:val="24"/>
          <w:lang w:eastAsia="en-GB"/>
        </w:rPr>
        <w:t>ayroll processing</w:t>
      </w:r>
      <w:r>
        <w:rPr>
          <w:rFonts w:ascii="Arial" w:hAnsi="Arial" w:cs="Arial"/>
          <w:b/>
          <w:color w:val="000000"/>
          <w:sz w:val="24"/>
          <w:szCs w:val="24"/>
          <w:lang w:eastAsia="en-GB"/>
        </w:rPr>
        <w:t>: p</w:t>
      </w:r>
      <w:r w:rsidRPr="0070117E">
        <w:rPr>
          <w:rFonts w:ascii="Arial" w:hAnsi="Arial" w:cs="Arial"/>
          <w:b/>
          <w:color w:val="000000"/>
          <w:sz w:val="24"/>
          <w:szCs w:val="24"/>
          <w:lang w:eastAsia="en-GB"/>
        </w:rPr>
        <w:t>rocessing of payments by BTLS, using information supplied by the council</w:t>
      </w:r>
      <w:r w:rsidRPr="0070117E">
        <w:rPr>
          <w:rFonts w:ascii="Arial" w:hAnsi="Arial" w:cs="Arial"/>
          <w:color w:val="000000"/>
          <w:sz w:val="24"/>
          <w:szCs w:val="24"/>
          <w:lang w:eastAsia="en-GB"/>
        </w:rPr>
        <w:tab/>
        <w:t>(Full assurance)</w:t>
      </w:r>
    </w:p>
    <w:p w:rsidR="00D33FA9" w:rsidRPr="00D33FA9"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764BD6">
        <w:rPr>
          <w:rFonts w:ascii="Arial" w:hAnsi="Arial" w:cs="Arial"/>
          <w:sz w:val="24"/>
          <w:szCs w:val="24"/>
        </w:rPr>
        <w:t xml:space="preserve">Approximately 39,500 BACS payments </w:t>
      </w:r>
      <w:r>
        <w:rPr>
          <w:rFonts w:ascii="Arial" w:hAnsi="Arial" w:cs="Arial"/>
          <w:sz w:val="24"/>
          <w:szCs w:val="24"/>
        </w:rPr>
        <w:t xml:space="preserve">to employees amounting to approximately £43 million </w:t>
      </w:r>
      <w:r w:rsidRPr="00764BD6">
        <w:rPr>
          <w:rFonts w:ascii="Arial" w:hAnsi="Arial" w:cs="Arial"/>
          <w:sz w:val="24"/>
          <w:szCs w:val="24"/>
        </w:rPr>
        <w:t xml:space="preserve">are processed each month by the </w:t>
      </w:r>
      <w:r>
        <w:rPr>
          <w:rFonts w:ascii="Arial" w:hAnsi="Arial" w:cs="Arial"/>
          <w:sz w:val="24"/>
          <w:szCs w:val="24"/>
        </w:rPr>
        <w:t xml:space="preserve">BTLS </w:t>
      </w:r>
      <w:r w:rsidRPr="00764BD6">
        <w:rPr>
          <w:rFonts w:ascii="Arial" w:hAnsi="Arial" w:cs="Arial"/>
          <w:sz w:val="24"/>
          <w:szCs w:val="24"/>
        </w:rPr>
        <w:t xml:space="preserve">Payroll Service. </w:t>
      </w:r>
    </w:p>
    <w:p w:rsidR="007959C0"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70117E">
        <w:rPr>
          <w:rFonts w:ascii="Arial" w:hAnsi="Arial" w:cs="Arial"/>
          <w:sz w:val="24"/>
          <w:szCs w:val="24"/>
        </w:rPr>
        <w:t>BTLS continue</w:t>
      </w:r>
      <w:r>
        <w:rPr>
          <w:rFonts w:ascii="Arial" w:hAnsi="Arial" w:cs="Arial"/>
          <w:sz w:val="24"/>
          <w:szCs w:val="24"/>
        </w:rPr>
        <w:t>s</w:t>
      </w:r>
      <w:r w:rsidRPr="0070117E">
        <w:rPr>
          <w:rFonts w:ascii="Arial" w:hAnsi="Arial" w:cs="Arial"/>
          <w:sz w:val="24"/>
          <w:szCs w:val="24"/>
        </w:rPr>
        <w:t xml:space="preserve"> to </w:t>
      </w:r>
      <w:r>
        <w:rPr>
          <w:rFonts w:ascii="Arial" w:hAnsi="Arial" w:cs="Arial"/>
          <w:sz w:val="24"/>
          <w:szCs w:val="24"/>
        </w:rPr>
        <w:t>operate</w:t>
      </w:r>
      <w:r w:rsidRPr="0070117E">
        <w:rPr>
          <w:rFonts w:ascii="Arial" w:hAnsi="Arial" w:cs="Arial"/>
          <w:sz w:val="24"/>
          <w:szCs w:val="24"/>
        </w:rPr>
        <w:t xml:space="preserve"> a strong control environment over processing the council's payroll. </w:t>
      </w:r>
      <w:r>
        <w:rPr>
          <w:rFonts w:ascii="Arial" w:hAnsi="Arial" w:cs="Arial"/>
          <w:sz w:val="24"/>
          <w:szCs w:val="24"/>
        </w:rPr>
        <w:t>Payroll transactions are processed correctly</w:t>
      </w:r>
      <w:r w:rsidRPr="0070117E">
        <w:rPr>
          <w:rFonts w:ascii="Arial" w:hAnsi="Arial" w:cs="Arial"/>
          <w:sz w:val="24"/>
          <w:szCs w:val="24"/>
        </w:rPr>
        <w:t xml:space="preserve"> including payments for sickness, maternity and honoraria. </w:t>
      </w:r>
      <w:r>
        <w:rPr>
          <w:rFonts w:ascii="Arial" w:hAnsi="Arial" w:cs="Arial"/>
          <w:sz w:val="24"/>
          <w:szCs w:val="24"/>
        </w:rPr>
        <w:t>However w</w:t>
      </w:r>
      <w:r w:rsidRPr="0070117E">
        <w:rPr>
          <w:rFonts w:ascii="Arial" w:hAnsi="Arial" w:cs="Arial"/>
          <w:sz w:val="24"/>
          <w:szCs w:val="24"/>
        </w:rPr>
        <w:t>hile leavers are processed correctly</w:t>
      </w:r>
      <w:r>
        <w:rPr>
          <w:rFonts w:ascii="Arial" w:hAnsi="Arial" w:cs="Arial"/>
          <w:sz w:val="24"/>
          <w:szCs w:val="24"/>
        </w:rPr>
        <w:t xml:space="preserve"> once BTLS has been informed</w:t>
      </w:r>
      <w:r w:rsidRPr="0070117E">
        <w:rPr>
          <w:rFonts w:ascii="Arial" w:hAnsi="Arial" w:cs="Arial"/>
          <w:sz w:val="24"/>
          <w:szCs w:val="24"/>
        </w:rPr>
        <w:t xml:space="preserve">, </w:t>
      </w:r>
      <w:r>
        <w:rPr>
          <w:rFonts w:ascii="Arial" w:hAnsi="Arial" w:cs="Arial"/>
          <w:sz w:val="24"/>
          <w:szCs w:val="24"/>
        </w:rPr>
        <w:t>delays in notifying BTLS mean that the resulting payroll errors require further remedial action.</w:t>
      </w:r>
    </w:p>
    <w:p w:rsidR="0070117E"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70117E">
        <w:rPr>
          <w:rFonts w:ascii="Arial" w:hAnsi="Arial" w:cs="Arial"/>
          <w:sz w:val="24"/>
          <w:szCs w:val="24"/>
        </w:rPr>
        <w:t>Access to the payroll master file is appropriately restricted and BTLS plan</w:t>
      </w:r>
      <w:r w:rsidR="00B45A1D">
        <w:rPr>
          <w:rFonts w:ascii="Arial" w:hAnsi="Arial" w:cs="Arial"/>
          <w:sz w:val="24"/>
          <w:szCs w:val="24"/>
        </w:rPr>
        <w:t>s</w:t>
      </w:r>
      <w:r w:rsidRPr="0070117E">
        <w:rPr>
          <w:rFonts w:ascii="Arial" w:hAnsi="Arial" w:cs="Arial"/>
          <w:sz w:val="24"/>
          <w:szCs w:val="24"/>
        </w:rPr>
        <w:t xml:space="preserve"> </w:t>
      </w:r>
      <w:r>
        <w:rPr>
          <w:rFonts w:ascii="Arial" w:hAnsi="Arial" w:cs="Arial"/>
          <w:sz w:val="24"/>
          <w:szCs w:val="24"/>
        </w:rPr>
        <w:t xml:space="preserve">to undertake </w:t>
      </w:r>
      <w:r w:rsidRPr="0070117E">
        <w:rPr>
          <w:rFonts w:ascii="Arial" w:hAnsi="Arial" w:cs="Arial"/>
          <w:sz w:val="24"/>
          <w:szCs w:val="24"/>
        </w:rPr>
        <w:t xml:space="preserve">a full review </w:t>
      </w:r>
      <w:r>
        <w:rPr>
          <w:rFonts w:ascii="Arial" w:hAnsi="Arial" w:cs="Arial"/>
          <w:sz w:val="24"/>
          <w:szCs w:val="24"/>
        </w:rPr>
        <w:t xml:space="preserve">of </w:t>
      </w:r>
      <w:r w:rsidRPr="0070117E">
        <w:rPr>
          <w:rFonts w:ascii="Arial" w:hAnsi="Arial" w:cs="Arial"/>
          <w:sz w:val="24"/>
          <w:szCs w:val="24"/>
        </w:rPr>
        <w:t xml:space="preserve">access </w:t>
      </w:r>
      <w:r>
        <w:rPr>
          <w:rFonts w:ascii="Arial" w:hAnsi="Arial" w:cs="Arial"/>
          <w:sz w:val="24"/>
          <w:szCs w:val="24"/>
        </w:rPr>
        <w:t>rights</w:t>
      </w:r>
      <w:r w:rsidRPr="0070117E">
        <w:rPr>
          <w:rFonts w:ascii="Arial" w:hAnsi="Arial" w:cs="Arial"/>
          <w:sz w:val="24"/>
          <w:szCs w:val="24"/>
        </w:rPr>
        <w:t>. There is robust exception reporting and verification measures are in place to identify and address anomalies or errors arising during the payroll clearance process.</w:t>
      </w:r>
    </w:p>
    <w:p w:rsidR="007959C0" w:rsidRDefault="00E30154" w:rsidP="00F95566">
      <w:pPr>
        <w:pStyle w:val="ListParagraph"/>
        <w:tabs>
          <w:tab w:val="right" w:pos="9072"/>
        </w:tabs>
        <w:spacing w:before="120" w:line="240" w:lineRule="auto"/>
        <w:ind w:left="567"/>
        <w:jc w:val="both"/>
        <w:rPr>
          <w:rFonts w:ascii="Arial" w:hAnsi="Arial" w:cs="Arial"/>
          <w:b/>
          <w:color w:val="000000"/>
          <w:sz w:val="24"/>
          <w:szCs w:val="24"/>
          <w:lang w:eastAsia="en-GB"/>
        </w:rPr>
      </w:pPr>
      <w:r>
        <w:rPr>
          <w:rFonts w:ascii="Arial" w:hAnsi="Arial" w:cs="Arial"/>
          <w:b/>
          <w:color w:val="000000"/>
          <w:sz w:val="24"/>
          <w:szCs w:val="24"/>
          <w:lang w:eastAsia="en-GB"/>
        </w:rPr>
        <w:t>P</w:t>
      </w:r>
      <w:r w:rsidRPr="007959C0">
        <w:rPr>
          <w:rFonts w:ascii="Arial" w:hAnsi="Arial" w:cs="Arial"/>
          <w:b/>
          <w:color w:val="000000"/>
          <w:sz w:val="24"/>
          <w:szCs w:val="24"/>
          <w:lang w:eastAsia="en-GB"/>
        </w:rPr>
        <w:t>ayroll processing</w:t>
      </w:r>
      <w:r>
        <w:rPr>
          <w:rFonts w:ascii="Arial" w:hAnsi="Arial" w:cs="Arial"/>
          <w:b/>
          <w:color w:val="000000"/>
          <w:sz w:val="24"/>
          <w:szCs w:val="24"/>
          <w:lang w:eastAsia="en-GB"/>
        </w:rPr>
        <w:t>: p</w:t>
      </w:r>
      <w:r w:rsidRPr="007959C0">
        <w:rPr>
          <w:rFonts w:ascii="Arial" w:hAnsi="Arial" w:cs="Arial"/>
          <w:b/>
          <w:color w:val="000000"/>
          <w:sz w:val="24"/>
          <w:szCs w:val="24"/>
          <w:lang w:eastAsia="en-GB"/>
        </w:rPr>
        <w:t>ayments on account and over-</w:t>
      </w:r>
      <w:r>
        <w:rPr>
          <w:rFonts w:ascii="Arial" w:hAnsi="Arial" w:cs="Arial"/>
          <w:b/>
          <w:color w:val="000000"/>
          <w:sz w:val="24"/>
          <w:szCs w:val="24"/>
          <w:lang w:eastAsia="en-GB"/>
        </w:rPr>
        <w:t>payments</w:t>
      </w:r>
    </w:p>
    <w:p w:rsidR="007959C0" w:rsidRPr="007959C0" w:rsidRDefault="00E30154" w:rsidP="00F95566">
      <w:pPr>
        <w:pStyle w:val="ListParagraph"/>
        <w:tabs>
          <w:tab w:val="right" w:pos="9072"/>
        </w:tabs>
        <w:spacing w:after="120" w:line="240" w:lineRule="auto"/>
        <w:ind w:left="567"/>
        <w:jc w:val="both"/>
        <w:rPr>
          <w:rFonts w:ascii="Arial" w:hAnsi="Arial" w:cs="Arial"/>
          <w:b/>
          <w:color w:val="000000"/>
          <w:sz w:val="24"/>
          <w:szCs w:val="24"/>
          <w:lang w:eastAsia="en-GB"/>
        </w:rPr>
      </w:pPr>
      <w:r>
        <w:rPr>
          <w:rFonts w:ascii="Arial" w:hAnsi="Arial" w:cs="Arial"/>
          <w:b/>
          <w:color w:val="000000"/>
          <w:sz w:val="24"/>
          <w:szCs w:val="24"/>
          <w:lang w:eastAsia="en-GB"/>
        </w:rPr>
        <w:tab/>
      </w:r>
      <w:r w:rsidRPr="0070117E">
        <w:rPr>
          <w:rFonts w:ascii="Arial" w:hAnsi="Arial" w:cs="Arial"/>
          <w:color w:val="000000"/>
          <w:sz w:val="24"/>
          <w:szCs w:val="24"/>
          <w:lang w:eastAsia="en-GB"/>
        </w:rPr>
        <w:t>(Full assurance)</w:t>
      </w:r>
    </w:p>
    <w:p w:rsidR="007959C0"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D33FA9">
        <w:rPr>
          <w:rFonts w:ascii="Arial" w:hAnsi="Arial" w:cs="Arial"/>
          <w:sz w:val="24"/>
          <w:szCs w:val="24"/>
        </w:rPr>
        <w:t xml:space="preserve">BTLS is responsible for raising invoices where overpayments have been made to the council's current and former employees. </w:t>
      </w:r>
      <w:r>
        <w:rPr>
          <w:rFonts w:ascii="Arial" w:hAnsi="Arial" w:cs="Arial"/>
          <w:sz w:val="24"/>
          <w:szCs w:val="24"/>
        </w:rPr>
        <w:t>The Payroll Service has</w:t>
      </w:r>
      <w:r w:rsidRPr="00D33FA9">
        <w:rPr>
          <w:rFonts w:ascii="Arial" w:hAnsi="Arial" w:cs="Arial"/>
          <w:sz w:val="24"/>
          <w:szCs w:val="24"/>
        </w:rPr>
        <w:t xml:space="preserve"> introduced measures to reduce numbers of overpayments and payments on account by raising awareness of the correct process with council managers and heads of service.</w:t>
      </w:r>
      <w:r>
        <w:rPr>
          <w:rFonts w:ascii="Arial" w:hAnsi="Arial" w:cs="Arial"/>
          <w:sz w:val="24"/>
          <w:szCs w:val="24"/>
        </w:rPr>
        <w:t xml:space="preserve"> </w:t>
      </w:r>
    </w:p>
    <w:p w:rsidR="009A519F"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O</w:t>
      </w:r>
      <w:r w:rsidRPr="00D33FA9">
        <w:rPr>
          <w:rFonts w:ascii="Arial" w:hAnsi="Arial" w:cs="Arial"/>
          <w:sz w:val="24"/>
          <w:szCs w:val="24"/>
        </w:rPr>
        <w:t xml:space="preserve">verpayments continue </w:t>
      </w:r>
      <w:r>
        <w:rPr>
          <w:rFonts w:ascii="Arial" w:hAnsi="Arial" w:cs="Arial"/>
          <w:sz w:val="24"/>
          <w:szCs w:val="24"/>
        </w:rPr>
        <w:t>de</w:t>
      </w:r>
      <w:r w:rsidRPr="00D33FA9">
        <w:rPr>
          <w:rFonts w:ascii="Arial" w:hAnsi="Arial" w:cs="Arial"/>
          <w:sz w:val="24"/>
          <w:szCs w:val="24"/>
        </w:rPr>
        <w:t>spite this though, mainly due to late notification by managers of salary changes, particularly of employees leaving the council. Operational managers and heads of service have been reminded of key processes and the implications of non-compliance through direct contact by BTLS and HR bulletins published on the intranet.</w:t>
      </w:r>
    </w:p>
    <w:p w:rsidR="009A519F" w:rsidRPr="009A519F"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9A519F">
        <w:rPr>
          <w:rFonts w:ascii="Arial" w:hAnsi="Arial" w:cs="Arial"/>
          <w:sz w:val="24"/>
          <w:szCs w:val="24"/>
        </w:rPr>
        <w:t>Comparing the nine months to December 2016 to the same period in 2017 there was a 26% reduction in the number of overpayments from 277 to 204</w:t>
      </w:r>
      <w:r>
        <w:rPr>
          <w:rFonts w:ascii="Arial" w:hAnsi="Arial" w:cs="Arial"/>
          <w:sz w:val="24"/>
          <w:szCs w:val="24"/>
        </w:rPr>
        <w:t>,</w:t>
      </w:r>
      <w:r w:rsidRPr="009A519F">
        <w:rPr>
          <w:rFonts w:ascii="Arial" w:hAnsi="Arial" w:cs="Arial"/>
          <w:sz w:val="24"/>
          <w:szCs w:val="24"/>
        </w:rPr>
        <w:t xml:space="preserve"> and the value decreased from £286,000 to £219,000. Over this same period the number of payments on account fell by 5% from 764 to 727 although the value increased from £669,000 to £856,000. </w:t>
      </w:r>
    </w:p>
    <w:p w:rsidR="0086186E"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As at February 2018, o</w:t>
      </w:r>
      <w:r w:rsidRPr="00A3086B">
        <w:rPr>
          <w:rFonts w:ascii="Arial" w:hAnsi="Arial" w:cs="Arial"/>
          <w:sz w:val="24"/>
          <w:szCs w:val="24"/>
        </w:rPr>
        <w:t xml:space="preserve">utstanding </w:t>
      </w:r>
      <w:r>
        <w:rPr>
          <w:rFonts w:ascii="Arial" w:hAnsi="Arial" w:cs="Arial"/>
          <w:sz w:val="24"/>
          <w:szCs w:val="24"/>
        </w:rPr>
        <w:t>payroll-related debt was as follows:</w:t>
      </w:r>
    </w:p>
    <w:p w:rsidR="00B45A1D" w:rsidRDefault="00B45A1D" w:rsidP="00B45A1D">
      <w:pPr>
        <w:spacing w:before="120" w:after="120" w:line="240" w:lineRule="auto"/>
        <w:jc w:val="both"/>
        <w:rPr>
          <w:rFonts w:ascii="Arial" w:hAnsi="Arial" w:cs="Arial"/>
          <w:sz w:val="24"/>
          <w:szCs w:val="24"/>
        </w:rPr>
      </w:pPr>
    </w:p>
    <w:tbl>
      <w:tblPr>
        <w:tblW w:w="8485" w:type="dxa"/>
        <w:tblInd w:w="567" w:type="dxa"/>
        <w:tblCellMar>
          <w:left w:w="0" w:type="dxa"/>
          <w:right w:w="0" w:type="dxa"/>
        </w:tblCellMar>
        <w:tblLook w:val="04A0" w:firstRow="1" w:lastRow="0" w:firstColumn="1" w:lastColumn="0" w:noHBand="0" w:noVBand="1"/>
      </w:tblPr>
      <w:tblGrid>
        <w:gridCol w:w="3357"/>
        <w:gridCol w:w="685"/>
        <w:gridCol w:w="840"/>
        <w:gridCol w:w="1258"/>
        <w:gridCol w:w="839"/>
        <w:gridCol w:w="1506"/>
      </w:tblGrid>
      <w:tr w:rsidR="00B45A1D" w:rsidTr="00B45A1D">
        <w:tc>
          <w:tcPr>
            <w:tcW w:w="3357" w:type="dxa"/>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hideMark/>
          </w:tcPr>
          <w:p w:rsidR="00B45A1D" w:rsidRDefault="00B45A1D">
            <w:pPr>
              <w:spacing w:before="60" w:after="60"/>
              <w:rPr>
                <w:rFonts w:ascii="Arial" w:hAnsi="Arial" w:cs="Arial"/>
                <w:b/>
                <w:bCs/>
              </w:rPr>
            </w:pPr>
          </w:p>
          <w:p w:rsidR="00B45A1D" w:rsidRDefault="00B45A1D">
            <w:pPr>
              <w:spacing w:before="60" w:after="60"/>
              <w:rPr>
                <w:rFonts w:ascii="Arial" w:hAnsi="Arial" w:cs="Arial"/>
                <w:b/>
                <w:bCs/>
              </w:rPr>
            </w:pPr>
            <w:r>
              <w:rPr>
                <w:rFonts w:ascii="Arial" w:hAnsi="Arial" w:cs="Arial"/>
                <w:b/>
                <w:bCs/>
              </w:rPr>
              <w:t>Age of debt</w:t>
            </w:r>
          </w:p>
        </w:tc>
        <w:tc>
          <w:tcPr>
            <w:tcW w:w="1525" w:type="dxa"/>
            <w:gridSpan w:val="2"/>
            <w:tcBorders>
              <w:top w:val="single" w:sz="8" w:space="0" w:color="auto"/>
              <w:left w:val="nil"/>
              <w:bottom w:val="single" w:sz="8" w:space="0" w:color="auto"/>
              <w:right w:val="single" w:sz="8" w:space="0" w:color="auto"/>
            </w:tcBorders>
            <w:tcMar>
              <w:top w:w="0" w:type="dxa"/>
              <w:left w:w="85" w:type="dxa"/>
              <w:bottom w:w="0" w:type="dxa"/>
              <w:right w:w="85" w:type="dxa"/>
            </w:tcMar>
            <w:hideMark/>
          </w:tcPr>
          <w:p w:rsidR="00B45A1D" w:rsidRDefault="00B45A1D">
            <w:pPr>
              <w:spacing w:before="60" w:after="60"/>
              <w:jc w:val="center"/>
              <w:rPr>
                <w:rFonts w:ascii="Arial" w:hAnsi="Arial" w:cs="Arial"/>
                <w:b/>
                <w:bCs/>
              </w:rPr>
            </w:pPr>
            <w:r>
              <w:rPr>
                <w:rFonts w:ascii="Arial" w:hAnsi="Arial" w:cs="Arial"/>
                <w:b/>
                <w:bCs/>
              </w:rPr>
              <w:t>Number of invoices</w:t>
            </w:r>
          </w:p>
        </w:tc>
        <w:tc>
          <w:tcPr>
            <w:tcW w:w="2097" w:type="dxa"/>
            <w:gridSpan w:val="2"/>
            <w:tcBorders>
              <w:top w:val="single" w:sz="8" w:space="0" w:color="auto"/>
              <w:left w:val="nil"/>
              <w:bottom w:val="single" w:sz="8" w:space="0" w:color="auto"/>
              <w:right w:val="single" w:sz="8" w:space="0" w:color="auto"/>
            </w:tcBorders>
            <w:tcMar>
              <w:top w:w="0" w:type="dxa"/>
              <w:left w:w="85" w:type="dxa"/>
              <w:bottom w:w="0" w:type="dxa"/>
              <w:right w:w="85" w:type="dxa"/>
            </w:tcMar>
            <w:hideMark/>
          </w:tcPr>
          <w:p w:rsidR="00B45A1D" w:rsidRDefault="00B45A1D">
            <w:pPr>
              <w:spacing w:before="60" w:after="60"/>
              <w:jc w:val="center"/>
              <w:rPr>
                <w:rFonts w:ascii="Arial" w:hAnsi="Arial" w:cs="Arial"/>
                <w:b/>
                <w:bCs/>
              </w:rPr>
            </w:pPr>
            <w:r>
              <w:rPr>
                <w:rFonts w:ascii="Arial" w:hAnsi="Arial" w:cs="Arial"/>
                <w:b/>
                <w:bCs/>
              </w:rPr>
              <w:t>Value of debt</w:t>
            </w:r>
          </w:p>
        </w:tc>
        <w:tc>
          <w:tcPr>
            <w:tcW w:w="1506" w:type="dxa"/>
            <w:tcBorders>
              <w:top w:val="single" w:sz="8" w:space="0" w:color="auto"/>
              <w:left w:val="nil"/>
              <w:bottom w:val="single" w:sz="8" w:space="0" w:color="auto"/>
              <w:right w:val="single" w:sz="8" w:space="0" w:color="auto"/>
            </w:tcBorders>
            <w:tcMar>
              <w:top w:w="0" w:type="dxa"/>
              <w:left w:w="68" w:type="dxa"/>
              <w:bottom w:w="0" w:type="dxa"/>
              <w:right w:w="68" w:type="dxa"/>
            </w:tcMar>
            <w:hideMark/>
          </w:tcPr>
          <w:p w:rsidR="00B45A1D" w:rsidRDefault="00B45A1D">
            <w:pPr>
              <w:spacing w:before="60" w:after="60"/>
              <w:jc w:val="center"/>
              <w:rPr>
                <w:rFonts w:ascii="Arial" w:hAnsi="Arial" w:cs="Arial"/>
                <w:b/>
                <w:bCs/>
              </w:rPr>
            </w:pPr>
            <w:r>
              <w:rPr>
                <w:rFonts w:ascii="Arial" w:hAnsi="Arial" w:cs="Arial"/>
                <w:b/>
                <w:bCs/>
              </w:rPr>
              <w:t>Being paid in instalments</w:t>
            </w:r>
          </w:p>
        </w:tc>
      </w:tr>
      <w:tr w:rsidR="00B45A1D" w:rsidTr="00B45A1D">
        <w:tc>
          <w:tcPr>
            <w:tcW w:w="3357"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rsidR="00B45A1D" w:rsidRDefault="00B45A1D">
            <w:pPr>
              <w:spacing w:before="60" w:after="60"/>
              <w:rPr>
                <w:rFonts w:ascii="Arial" w:hAnsi="Arial" w:cs="Arial"/>
              </w:rPr>
            </w:pPr>
            <w:r>
              <w:rPr>
                <w:rFonts w:ascii="Arial" w:hAnsi="Arial" w:cs="Arial"/>
                <w:sz w:val="24"/>
                <w:szCs w:val="24"/>
              </w:rPr>
              <w:t>Under one year old</w:t>
            </w:r>
          </w:p>
        </w:tc>
        <w:tc>
          <w:tcPr>
            <w:tcW w:w="685" w:type="dxa"/>
            <w:tcBorders>
              <w:top w:val="nil"/>
              <w:left w:val="nil"/>
              <w:bottom w:val="single" w:sz="8" w:space="0" w:color="auto"/>
              <w:right w:val="single" w:sz="8" w:space="0" w:color="auto"/>
            </w:tcBorders>
            <w:tcMar>
              <w:top w:w="0" w:type="dxa"/>
              <w:left w:w="85" w:type="dxa"/>
              <w:bottom w:w="0" w:type="dxa"/>
              <w:right w:w="85" w:type="dxa"/>
            </w:tcMar>
            <w:hideMark/>
          </w:tcPr>
          <w:p w:rsidR="00B45A1D" w:rsidRDefault="00B45A1D">
            <w:pPr>
              <w:spacing w:before="60" w:after="60"/>
              <w:jc w:val="right"/>
              <w:rPr>
                <w:rFonts w:ascii="Arial" w:hAnsi="Arial" w:cs="Arial"/>
              </w:rPr>
            </w:pPr>
            <w:r>
              <w:rPr>
                <w:rFonts w:ascii="Arial" w:hAnsi="Arial" w:cs="Arial"/>
                <w:sz w:val="24"/>
                <w:szCs w:val="24"/>
              </w:rPr>
              <w:t xml:space="preserve">192 </w:t>
            </w:r>
          </w:p>
        </w:tc>
        <w:tc>
          <w:tcPr>
            <w:tcW w:w="840" w:type="dxa"/>
            <w:tcBorders>
              <w:top w:val="nil"/>
              <w:left w:val="nil"/>
              <w:bottom w:val="single" w:sz="8" w:space="0" w:color="auto"/>
              <w:right w:val="single" w:sz="8" w:space="0" w:color="auto"/>
            </w:tcBorders>
            <w:tcMar>
              <w:top w:w="0" w:type="dxa"/>
              <w:left w:w="85" w:type="dxa"/>
              <w:bottom w:w="0" w:type="dxa"/>
              <w:right w:w="85" w:type="dxa"/>
            </w:tcMar>
            <w:hideMark/>
          </w:tcPr>
          <w:p w:rsidR="00B45A1D" w:rsidRDefault="00B45A1D">
            <w:pPr>
              <w:spacing w:before="60" w:after="60"/>
              <w:jc w:val="right"/>
              <w:rPr>
                <w:rFonts w:ascii="Arial" w:hAnsi="Arial" w:cs="Arial"/>
              </w:rPr>
            </w:pPr>
            <w:r>
              <w:rPr>
                <w:rFonts w:ascii="Arial" w:hAnsi="Arial" w:cs="Arial"/>
                <w:sz w:val="24"/>
                <w:szCs w:val="24"/>
              </w:rPr>
              <w:t>51%</w:t>
            </w:r>
          </w:p>
        </w:tc>
        <w:tc>
          <w:tcPr>
            <w:tcW w:w="1258" w:type="dxa"/>
            <w:tcBorders>
              <w:top w:val="nil"/>
              <w:left w:val="nil"/>
              <w:bottom w:val="single" w:sz="8" w:space="0" w:color="auto"/>
              <w:right w:val="single" w:sz="8" w:space="0" w:color="auto"/>
            </w:tcBorders>
            <w:tcMar>
              <w:top w:w="0" w:type="dxa"/>
              <w:left w:w="85" w:type="dxa"/>
              <w:bottom w:w="0" w:type="dxa"/>
              <w:right w:w="85" w:type="dxa"/>
            </w:tcMar>
            <w:hideMark/>
          </w:tcPr>
          <w:p w:rsidR="00B45A1D" w:rsidRDefault="00B45A1D">
            <w:pPr>
              <w:spacing w:before="60" w:after="60"/>
              <w:jc w:val="right"/>
              <w:rPr>
                <w:rFonts w:ascii="Arial" w:hAnsi="Arial" w:cs="Arial"/>
              </w:rPr>
            </w:pPr>
            <w:r>
              <w:rPr>
                <w:rFonts w:ascii="Arial" w:hAnsi="Arial" w:cs="Arial"/>
                <w:sz w:val="24"/>
                <w:szCs w:val="24"/>
              </w:rPr>
              <w:t>£231,076</w:t>
            </w:r>
          </w:p>
        </w:tc>
        <w:tc>
          <w:tcPr>
            <w:tcW w:w="839" w:type="dxa"/>
            <w:tcBorders>
              <w:top w:val="nil"/>
              <w:left w:val="nil"/>
              <w:bottom w:val="single" w:sz="8" w:space="0" w:color="auto"/>
              <w:right w:val="single" w:sz="8" w:space="0" w:color="auto"/>
            </w:tcBorders>
            <w:tcMar>
              <w:top w:w="0" w:type="dxa"/>
              <w:left w:w="85" w:type="dxa"/>
              <w:bottom w:w="0" w:type="dxa"/>
              <w:right w:w="85" w:type="dxa"/>
            </w:tcMar>
            <w:hideMark/>
          </w:tcPr>
          <w:p w:rsidR="00B45A1D" w:rsidRDefault="00B45A1D">
            <w:pPr>
              <w:spacing w:before="60" w:after="60"/>
              <w:jc w:val="right"/>
              <w:rPr>
                <w:rFonts w:ascii="Arial" w:hAnsi="Arial" w:cs="Arial"/>
              </w:rPr>
            </w:pPr>
            <w:r>
              <w:rPr>
                <w:rFonts w:ascii="Arial" w:hAnsi="Arial" w:cs="Arial"/>
                <w:sz w:val="24"/>
                <w:szCs w:val="24"/>
              </w:rPr>
              <w:t>38%</w:t>
            </w:r>
          </w:p>
        </w:tc>
        <w:tc>
          <w:tcPr>
            <w:tcW w:w="1506" w:type="dxa"/>
            <w:tcBorders>
              <w:top w:val="nil"/>
              <w:left w:val="nil"/>
              <w:bottom w:val="single" w:sz="8" w:space="0" w:color="auto"/>
              <w:right w:val="single" w:sz="8" w:space="0" w:color="auto"/>
            </w:tcBorders>
            <w:tcMar>
              <w:top w:w="0" w:type="dxa"/>
              <w:left w:w="68" w:type="dxa"/>
              <w:bottom w:w="0" w:type="dxa"/>
              <w:right w:w="68" w:type="dxa"/>
            </w:tcMar>
            <w:hideMark/>
          </w:tcPr>
          <w:p w:rsidR="00B45A1D" w:rsidRDefault="00B45A1D">
            <w:pPr>
              <w:spacing w:before="60" w:after="60"/>
              <w:jc w:val="center"/>
              <w:rPr>
                <w:rFonts w:ascii="Arial" w:hAnsi="Arial" w:cs="Arial"/>
                <w:sz w:val="24"/>
                <w:szCs w:val="24"/>
              </w:rPr>
            </w:pPr>
            <w:r>
              <w:rPr>
                <w:rFonts w:ascii="Arial" w:hAnsi="Arial" w:cs="Arial"/>
                <w:sz w:val="24"/>
                <w:szCs w:val="24"/>
              </w:rPr>
              <w:t>40%</w:t>
            </w:r>
          </w:p>
        </w:tc>
      </w:tr>
      <w:tr w:rsidR="00B45A1D" w:rsidTr="00B45A1D">
        <w:tc>
          <w:tcPr>
            <w:tcW w:w="3357"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rsidR="00B45A1D" w:rsidRDefault="00B45A1D">
            <w:pPr>
              <w:spacing w:before="60" w:after="60"/>
              <w:rPr>
                <w:rFonts w:ascii="Arial" w:hAnsi="Arial" w:cs="Arial"/>
                <w:sz w:val="22"/>
                <w:szCs w:val="22"/>
              </w:rPr>
            </w:pPr>
            <w:r>
              <w:rPr>
                <w:rFonts w:ascii="Arial" w:hAnsi="Arial" w:cs="Arial"/>
                <w:sz w:val="24"/>
                <w:szCs w:val="24"/>
              </w:rPr>
              <w:t>Between one and two years old</w:t>
            </w:r>
          </w:p>
        </w:tc>
        <w:tc>
          <w:tcPr>
            <w:tcW w:w="685" w:type="dxa"/>
            <w:tcBorders>
              <w:top w:val="nil"/>
              <w:left w:val="nil"/>
              <w:bottom w:val="single" w:sz="8" w:space="0" w:color="auto"/>
              <w:right w:val="single" w:sz="8" w:space="0" w:color="auto"/>
            </w:tcBorders>
            <w:tcMar>
              <w:top w:w="0" w:type="dxa"/>
              <w:left w:w="85" w:type="dxa"/>
              <w:bottom w:w="0" w:type="dxa"/>
              <w:right w:w="85" w:type="dxa"/>
            </w:tcMar>
            <w:hideMark/>
          </w:tcPr>
          <w:p w:rsidR="00B45A1D" w:rsidRDefault="00B45A1D">
            <w:pPr>
              <w:spacing w:before="60" w:after="60"/>
              <w:jc w:val="right"/>
              <w:rPr>
                <w:rFonts w:ascii="Arial" w:hAnsi="Arial" w:cs="Arial"/>
              </w:rPr>
            </w:pPr>
            <w:r>
              <w:rPr>
                <w:rFonts w:ascii="Arial" w:hAnsi="Arial" w:cs="Arial"/>
                <w:sz w:val="24"/>
                <w:szCs w:val="24"/>
              </w:rPr>
              <w:t>60</w:t>
            </w:r>
          </w:p>
        </w:tc>
        <w:tc>
          <w:tcPr>
            <w:tcW w:w="840" w:type="dxa"/>
            <w:tcBorders>
              <w:top w:val="nil"/>
              <w:left w:val="nil"/>
              <w:bottom w:val="single" w:sz="8" w:space="0" w:color="auto"/>
              <w:right w:val="single" w:sz="8" w:space="0" w:color="auto"/>
            </w:tcBorders>
            <w:tcMar>
              <w:top w:w="0" w:type="dxa"/>
              <w:left w:w="85" w:type="dxa"/>
              <w:bottom w:w="0" w:type="dxa"/>
              <w:right w:w="85" w:type="dxa"/>
            </w:tcMar>
            <w:hideMark/>
          </w:tcPr>
          <w:p w:rsidR="00B45A1D" w:rsidRDefault="00B45A1D">
            <w:pPr>
              <w:spacing w:before="60" w:after="60"/>
              <w:jc w:val="right"/>
              <w:rPr>
                <w:rFonts w:ascii="Arial" w:hAnsi="Arial" w:cs="Arial"/>
              </w:rPr>
            </w:pPr>
            <w:r>
              <w:rPr>
                <w:rFonts w:ascii="Arial" w:hAnsi="Arial" w:cs="Arial"/>
                <w:sz w:val="24"/>
                <w:szCs w:val="24"/>
              </w:rPr>
              <w:t>16%</w:t>
            </w:r>
          </w:p>
        </w:tc>
        <w:tc>
          <w:tcPr>
            <w:tcW w:w="1258" w:type="dxa"/>
            <w:tcBorders>
              <w:top w:val="nil"/>
              <w:left w:val="nil"/>
              <w:bottom w:val="single" w:sz="8" w:space="0" w:color="auto"/>
              <w:right w:val="single" w:sz="8" w:space="0" w:color="auto"/>
            </w:tcBorders>
            <w:tcMar>
              <w:top w:w="0" w:type="dxa"/>
              <w:left w:w="85" w:type="dxa"/>
              <w:bottom w:w="0" w:type="dxa"/>
              <w:right w:w="85" w:type="dxa"/>
            </w:tcMar>
            <w:hideMark/>
          </w:tcPr>
          <w:p w:rsidR="00B45A1D" w:rsidRDefault="00B45A1D">
            <w:pPr>
              <w:spacing w:before="60" w:after="60"/>
              <w:jc w:val="right"/>
              <w:rPr>
                <w:rFonts w:ascii="Arial" w:hAnsi="Arial" w:cs="Arial"/>
              </w:rPr>
            </w:pPr>
            <w:r>
              <w:rPr>
                <w:rFonts w:ascii="Arial" w:hAnsi="Arial" w:cs="Arial"/>
                <w:sz w:val="24"/>
                <w:szCs w:val="24"/>
              </w:rPr>
              <w:t>£101,519</w:t>
            </w:r>
          </w:p>
        </w:tc>
        <w:tc>
          <w:tcPr>
            <w:tcW w:w="839" w:type="dxa"/>
            <w:tcBorders>
              <w:top w:val="nil"/>
              <w:left w:val="nil"/>
              <w:bottom w:val="single" w:sz="8" w:space="0" w:color="auto"/>
              <w:right w:val="single" w:sz="8" w:space="0" w:color="auto"/>
            </w:tcBorders>
            <w:tcMar>
              <w:top w:w="0" w:type="dxa"/>
              <w:left w:w="85" w:type="dxa"/>
              <w:bottom w:w="0" w:type="dxa"/>
              <w:right w:w="85" w:type="dxa"/>
            </w:tcMar>
            <w:hideMark/>
          </w:tcPr>
          <w:p w:rsidR="00B45A1D" w:rsidRDefault="00B45A1D">
            <w:pPr>
              <w:spacing w:before="60" w:after="60"/>
              <w:jc w:val="right"/>
              <w:rPr>
                <w:rFonts w:ascii="Arial" w:hAnsi="Arial" w:cs="Arial"/>
              </w:rPr>
            </w:pPr>
            <w:r>
              <w:rPr>
                <w:rFonts w:ascii="Arial" w:hAnsi="Arial" w:cs="Arial"/>
                <w:sz w:val="24"/>
                <w:szCs w:val="24"/>
              </w:rPr>
              <w:t>17%</w:t>
            </w:r>
          </w:p>
        </w:tc>
        <w:tc>
          <w:tcPr>
            <w:tcW w:w="1506" w:type="dxa"/>
            <w:tcBorders>
              <w:top w:val="nil"/>
              <w:left w:val="nil"/>
              <w:bottom w:val="single" w:sz="8" w:space="0" w:color="auto"/>
              <w:right w:val="single" w:sz="8" w:space="0" w:color="auto"/>
            </w:tcBorders>
            <w:tcMar>
              <w:top w:w="0" w:type="dxa"/>
              <w:left w:w="68" w:type="dxa"/>
              <w:bottom w:w="0" w:type="dxa"/>
              <w:right w:w="68" w:type="dxa"/>
            </w:tcMar>
            <w:hideMark/>
          </w:tcPr>
          <w:p w:rsidR="00B45A1D" w:rsidRDefault="00B45A1D">
            <w:pPr>
              <w:spacing w:before="60" w:after="60"/>
              <w:jc w:val="center"/>
              <w:rPr>
                <w:rFonts w:ascii="Arial" w:hAnsi="Arial" w:cs="Arial"/>
                <w:sz w:val="24"/>
                <w:szCs w:val="24"/>
              </w:rPr>
            </w:pPr>
            <w:r>
              <w:rPr>
                <w:rFonts w:ascii="Arial" w:hAnsi="Arial" w:cs="Arial"/>
                <w:sz w:val="24"/>
                <w:szCs w:val="24"/>
              </w:rPr>
              <w:t>32%</w:t>
            </w:r>
          </w:p>
        </w:tc>
      </w:tr>
      <w:tr w:rsidR="00B45A1D" w:rsidTr="00B45A1D">
        <w:tc>
          <w:tcPr>
            <w:tcW w:w="3357"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rsidR="00B45A1D" w:rsidRDefault="00B45A1D">
            <w:pPr>
              <w:spacing w:before="60" w:after="60"/>
              <w:rPr>
                <w:rFonts w:ascii="Arial" w:hAnsi="Arial" w:cs="Arial"/>
                <w:sz w:val="22"/>
                <w:szCs w:val="22"/>
              </w:rPr>
            </w:pPr>
            <w:r>
              <w:rPr>
                <w:rFonts w:ascii="Arial" w:hAnsi="Arial" w:cs="Arial"/>
                <w:sz w:val="24"/>
                <w:szCs w:val="24"/>
              </w:rPr>
              <w:t>Over two years old (to April 2009)</w:t>
            </w:r>
          </w:p>
        </w:tc>
        <w:tc>
          <w:tcPr>
            <w:tcW w:w="685" w:type="dxa"/>
            <w:tcBorders>
              <w:top w:val="nil"/>
              <w:left w:val="nil"/>
              <w:bottom w:val="single" w:sz="8" w:space="0" w:color="auto"/>
              <w:right w:val="single" w:sz="8" w:space="0" w:color="auto"/>
            </w:tcBorders>
            <w:tcMar>
              <w:top w:w="0" w:type="dxa"/>
              <w:left w:w="85" w:type="dxa"/>
              <w:bottom w:w="0" w:type="dxa"/>
              <w:right w:w="85" w:type="dxa"/>
            </w:tcMar>
            <w:hideMark/>
          </w:tcPr>
          <w:p w:rsidR="00B45A1D" w:rsidRDefault="00B45A1D">
            <w:pPr>
              <w:spacing w:before="60" w:after="60"/>
              <w:jc w:val="right"/>
              <w:rPr>
                <w:rFonts w:ascii="Arial" w:hAnsi="Arial" w:cs="Arial"/>
              </w:rPr>
            </w:pPr>
            <w:r>
              <w:rPr>
                <w:rFonts w:ascii="Arial" w:hAnsi="Arial" w:cs="Arial"/>
                <w:sz w:val="24"/>
                <w:szCs w:val="24"/>
              </w:rPr>
              <w:t>125</w:t>
            </w:r>
          </w:p>
        </w:tc>
        <w:tc>
          <w:tcPr>
            <w:tcW w:w="840" w:type="dxa"/>
            <w:tcBorders>
              <w:top w:val="nil"/>
              <w:left w:val="nil"/>
              <w:bottom w:val="single" w:sz="8" w:space="0" w:color="auto"/>
              <w:right w:val="single" w:sz="8" w:space="0" w:color="auto"/>
            </w:tcBorders>
            <w:tcMar>
              <w:top w:w="0" w:type="dxa"/>
              <w:left w:w="85" w:type="dxa"/>
              <w:bottom w:w="0" w:type="dxa"/>
              <w:right w:w="85" w:type="dxa"/>
            </w:tcMar>
            <w:hideMark/>
          </w:tcPr>
          <w:p w:rsidR="00B45A1D" w:rsidRDefault="00B45A1D">
            <w:pPr>
              <w:spacing w:before="60" w:after="60"/>
              <w:jc w:val="right"/>
              <w:rPr>
                <w:rFonts w:ascii="Arial" w:hAnsi="Arial" w:cs="Arial"/>
              </w:rPr>
            </w:pPr>
            <w:r>
              <w:rPr>
                <w:rFonts w:ascii="Arial" w:hAnsi="Arial" w:cs="Arial"/>
                <w:sz w:val="24"/>
                <w:szCs w:val="24"/>
              </w:rPr>
              <w:t>33%</w:t>
            </w:r>
          </w:p>
        </w:tc>
        <w:tc>
          <w:tcPr>
            <w:tcW w:w="1258" w:type="dxa"/>
            <w:tcBorders>
              <w:top w:val="nil"/>
              <w:left w:val="nil"/>
              <w:bottom w:val="single" w:sz="8" w:space="0" w:color="auto"/>
              <w:right w:val="single" w:sz="8" w:space="0" w:color="auto"/>
            </w:tcBorders>
            <w:tcMar>
              <w:top w:w="0" w:type="dxa"/>
              <w:left w:w="85" w:type="dxa"/>
              <w:bottom w:w="0" w:type="dxa"/>
              <w:right w:w="85" w:type="dxa"/>
            </w:tcMar>
            <w:hideMark/>
          </w:tcPr>
          <w:p w:rsidR="00B45A1D" w:rsidRDefault="00B45A1D">
            <w:pPr>
              <w:spacing w:before="60" w:after="60"/>
              <w:jc w:val="right"/>
              <w:rPr>
                <w:rFonts w:ascii="Arial" w:hAnsi="Arial" w:cs="Arial"/>
              </w:rPr>
            </w:pPr>
            <w:r>
              <w:rPr>
                <w:rFonts w:ascii="Arial" w:hAnsi="Arial" w:cs="Arial"/>
                <w:sz w:val="24"/>
                <w:szCs w:val="24"/>
              </w:rPr>
              <w:t>£268,636</w:t>
            </w:r>
          </w:p>
        </w:tc>
        <w:tc>
          <w:tcPr>
            <w:tcW w:w="839" w:type="dxa"/>
            <w:tcBorders>
              <w:top w:val="nil"/>
              <w:left w:val="nil"/>
              <w:bottom w:val="single" w:sz="8" w:space="0" w:color="auto"/>
              <w:right w:val="single" w:sz="8" w:space="0" w:color="auto"/>
            </w:tcBorders>
            <w:tcMar>
              <w:top w:w="0" w:type="dxa"/>
              <w:left w:w="85" w:type="dxa"/>
              <w:bottom w:w="0" w:type="dxa"/>
              <w:right w:w="85" w:type="dxa"/>
            </w:tcMar>
            <w:hideMark/>
          </w:tcPr>
          <w:p w:rsidR="00B45A1D" w:rsidRDefault="00B45A1D">
            <w:pPr>
              <w:spacing w:before="60" w:after="60"/>
              <w:jc w:val="right"/>
              <w:rPr>
                <w:rFonts w:ascii="Arial" w:hAnsi="Arial" w:cs="Arial"/>
              </w:rPr>
            </w:pPr>
            <w:r>
              <w:rPr>
                <w:rFonts w:ascii="Arial" w:hAnsi="Arial" w:cs="Arial"/>
                <w:sz w:val="24"/>
                <w:szCs w:val="24"/>
              </w:rPr>
              <w:t>45%</w:t>
            </w:r>
          </w:p>
        </w:tc>
        <w:tc>
          <w:tcPr>
            <w:tcW w:w="1506" w:type="dxa"/>
            <w:tcBorders>
              <w:top w:val="nil"/>
              <w:left w:val="nil"/>
              <w:bottom w:val="single" w:sz="8" w:space="0" w:color="auto"/>
              <w:right w:val="single" w:sz="8" w:space="0" w:color="auto"/>
            </w:tcBorders>
            <w:tcMar>
              <w:top w:w="0" w:type="dxa"/>
              <w:left w:w="68" w:type="dxa"/>
              <w:bottom w:w="0" w:type="dxa"/>
              <w:right w:w="68" w:type="dxa"/>
            </w:tcMar>
            <w:hideMark/>
          </w:tcPr>
          <w:p w:rsidR="00B45A1D" w:rsidRDefault="00B45A1D">
            <w:pPr>
              <w:spacing w:before="60" w:after="60"/>
              <w:jc w:val="center"/>
              <w:rPr>
                <w:rFonts w:ascii="Arial" w:hAnsi="Arial" w:cs="Arial"/>
                <w:sz w:val="24"/>
                <w:szCs w:val="24"/>
              </w:rPr>
            </w:pPr>
            <w:r>
              <w:rPr>
                <w:rFonts w:ascii="Arial" w:hAnsi="Arial" w:cs="Arial"/>
                <w:sz w:val="24"/>
                <w:szCs w:val="24"/>
              </w:rPr>
              <w:t>27%</w:t>
            </w:r>
          </w:p>
        </w:tc>
      </w:tr>
      <w:tr w:rsidR="00B45A1D" w:rsidTr="00B45A1D">
        <w:tc>
          <w:tcPr>
            <w:tcW w:w="3357"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rsidR="00B45A1D" w:rsidRDefault="00B45A1D">
            <w:pPr>
              <w:spacing w:before="60" w:after="60"/>
              <w:rPr>
                <w:rFonts w:ascii="Arial" w:hAnsi="Arial" w:cs="Arial"/>
                <w:b/>
                <w:bCs/>
                <w:sz w:val="24"/>
                <w:szCs w:val="24"/>
              </w:rPr>
            </w:pPr>
            <w:r>
              <w:rPr>
                <w:rFonts w:ascii="Arial" w:hAnsi="Arial" w:cs="Arial"/>
                <w:b/>
                <w:bCs/>
                <w:sz w:val="24"/>
                <w:szCs w:val="24"/>
              </w:rPr>
              <w:t>Total</w:t>
            </w:r>
          </w:p>
        </w:tc>
        <w:tc>
          <w:tcPr>
            <w:tcW w:w="685" w:type="dxa"/>
            <w:tcBorders>
              <w:top w:val="nil"/>
              <w:left w:val="nil"/>
              <w:bottom w:val="single" w:sz="8" w:space="0" w:color="auto"/>
              <w:right w:val="single" w:sz="8" w:space="0" w:color="auto"/>
            </w:tcBorders>
            <w:tcMar>
              <w:top w:w="0" w:type="dxa"/>
              <w:left w:w="85" w:type="dxa"/>
              <w:bottom w:w="0" w:type="dxa"/>
              <w:right w:w="85" w:type="dxa"/>
            </w:tcMar>
            <w:hideMark/>
          </w:tcPr>
          <w:p w:rsidR="00B45A1D" w:rsidRDefault="00B45A1D">
            <w:pPr>
              <w:spacing w:before="60" w:after="60"/>
              <w:jc w:val="right"/>
              <w:rPr>
                <w:rFonts w:ascii="Arial" w:hAnsi="Arial" w:cs="Arial"/>
                <w:sz w:val="24"/>
                <w:szCs w:val="24"/>
              </w:rPr>
            </w:pPr>
            <w:r>
              <w:rPr>
                <w:rFonts w:ascii="Arial" w:hAnsi="Arial" w:cs="Arial"/>
                <w:sz w:val="24"/>
                <w:szCs w:val="24"/>
              </w:rPr>
              <w:t>377</w:t>
            </w:r>
          </w:p>
        </w:tc>
        <w:tc>
          <w:tcPr>
            <w:tcW w:w="840" w:type="dxa"/>
            <w:tcBorders>
              <w:top w:val="nil"/>
              <w:left w:val="nil"/>
              <w:bottom w:val="single" w:sz="8" w:space="0" w:color="auto"/>
              <w:right w:val="single" w:sz="8" w:space="0" w:color="auto"/>
            </w:tcBorders>
            <w:tcMar>
              <w:top w:w="0" w:type="dxa"/>
              <w:left w:w="85" w:type="dxa"/>
              <w:bottom w:w="0" w:type="dxa"/>
              <w:right w:w="85" w:type="dxa"/>
            </w:tcMar>
            <w:hideMark/>
          </w:tcPr>
          <w:p w:rsidR="00B45A1D" w:rsidRDefault="00B45A1D">
            <w:pPr>
              <w:spacing w:before="60" w:after="60"/>
              <w:jc w:val="right"/>
              <w:rPr>
                <w:rFonts w:ascii="Arial" w:hAnsi="Arial" w:cs="Arial"/>
                <w:sz w:val="24"/>
                <w:szCs w:val="24"/>
              </w:rPr>
            </w:pPr>
            <w:r>
              <w:rPr>
                <w:rFonts w:ascii="Arial" w:hAnsi="Arial" w:cs="Arial"/>
                <w:sz w:val="24"/>
                <w:szCs w:val="24"/>
              </w:rPr>
              <w:t>100%</w:t>
            </w:r>
          </w:p>
        </w:tc>
        <w:tc>
          <w:tcPr>
            <w:tcW w:w="1258" w:type="dxa"/>
            <w:tcBorders>
              <w:top w:val="nil"/>
              <w:left w:val="nil"/>
              <w:bottom w:val="single" w:sz="8" w:space="0" w:color="auto"/>
              <w:right w:val="single" w:sz="8" w:space="0" w:color="auto"/>
            </w:tcBorders>
            <w:tcMar>
              <w:top w:w="0" w:type="dxa"/>
              <w:left w:w="85" w:type="dxa"/>
              <w:bottom w:w="0" w:type="dxa"/>
              <w:right w:w="85" w:type="dxa"/>
            </w:tcMar>
            <w:hideMark/>
          </w:tcPr>
          <w:p w:rsidR="00B45A1D" w:rsidRDefault="00B45A1D">
            <w:pPr>
              <w:spacing w:before="60" w:after="60"/>
              <w:jc w:val="right"/>
              <w:rPr>
                <w:rFonts w:ascii="Arial" w:hAnsi="Arial" w:cs="Arial"/>
                <w:sz w:val="24"/>
                <w:szCs w:val="24"/>
              </w:rPr>
            </w:pPr>
            <w:r>
              <w:rPr>
                <w:rFonts w:ascii="Arial" w:hAnsi="Arial" w:cs="Arial"/>
                <w:sz w:val="24"/>
                <w:szCs w:val="24"/>
              </w:rPr>
              <w:t>£601,231</w:t>
            </w:r>
          </w:p>
        </w:tc>
        <w:tc>
          <w:tcPr>
            <w:tcW w:w="839" w:type="dxa"/>
            <w:tcBorders>
              <w:top w:val="nil"/>
              <w:left w:val="nil"/>
              <w:bottom w:val="single" w:sz="8" w:space="0" w:color="auto"/>
              <w:right w:val="single" w:sz="8" w:space="0" w:color="auto"/>
            </w:tcBorders>
            <w:tcMar>
              <w:top w:w="0" w:type="dxa"/>
              <w:left w:w="85" w:type="dxa"/>
              <w:bottom w:w="0" w:type="dxa"/>
              <w:right w:w="85" w:type="dxa"/>
            </w:tcMar>
            <w:hideMark/>
          </w:tcPr>
          <w:p w:rsidR="00B45A1D" w:rsidRDefault="00B45A1D">
            <w:pPr>
              <w:spacing w:before="60" w:after="60"/>
              <w:jc w:val="right"/>
              <w:rPr>
                <w:rFonts w:ascii="Arial" w:hAnsi="Arial" w:cs="Arial"/>
                <w:sz w:val="24"/>
                <w:szCs w:val="24"/>
              </w:rPr>
            </w:pPr>
            <w:r>
              <w:rPr>
                <w:rFonts w:ascii="Arial" w:hAnsi="Arial" w:cs="Arial"/>
                <w:sz w:val="24"/>
                <w:szCs w:val="24"/>
              </w:rPr>
              <w:t>100%</w:t>
            </w:r>
          </w:p>
        </w:tc>
        <w:tc>
          <w:tcPr>
            <w:tcW w:w="1506" w:type="dxa"/>
            <w:tcBorders>
              <w:top w:val="nil"/>
              <w:left w:val="nil"/>
              <w:bottom w:val="single" w:sz="8" w:space="0" w:color="auto"/>
              <w:right w:val="single" w:sz="8" w:space="0" w:color="auto"/>
            </w:tcBorders>
            <w:tcMar>
              <w:top w:w="0" w:type="dxa"/>
              <w:left w:w="68" w:type="dxa"/>
              <w:bottom w:w="0" w:type="dxa"/>
              <w:right w:w="68" w:type="dxa"/>
            </w:tcMar>
          </w:tcPr>
          <w:p w:rsidR="00B45A1D" w:rsidRDefault="00B45A1D">
            <w:pPr>
              <w:spacing w:before="60" w:after="60"/>
              <w:jc w:val="center"/>
              <w:rPr>
                <w:rFonts w:ascii="Arial" w:hAnsi="Arial" w:cs="Arial"/>
                <w:sz w:val="24"/>
                <w:szCs w:val="24"/>
              </w:rPr>
            </w:pPr>
          </w:p>
        </w:tc>
      </w:tr>
    </w:tbl>
    <w:p w:rsidR="00B45A1D" w:rsidRPr="0086186E" w:rsidRDefault="00B45A1D" w:rsidP="00B45A1D">
      <w:pPr>
        <w:spacing w:before="120" w:after="120" w:line="240" w:lineRule="auto"/>
        <w:jc w:val="both"/>
        <w:rPr>
          <w:rFonts w:ascii="Arial" w:hAnsi="Arial" w:cs="Arial"/>
          <w:sz w:val="24"/>
          <w:szCs w:val="24"/>
        </w:rPr>
      </w:pPr>
    </w:p>
    <w:p w:rsidR="00526D3D" w:rsidRPr="00F328FF" w:rsidRDefault="00E30154" w:rsidP="00F95566">
      <w:pPr>
        <w:tabs>
          <w:tab w:val="right" w:pos="9072"/>
        </w:tabs>
        <w:spacing w:before="120" w:after="120" w:line="240" w:lineRule="auto"/>
        <w:ind w:left="567"/>
        <w:jc w:val="both"/>
        <w:rPr>
          <w:rFonts w:ascii="Arial" w:hAnsi="Arial" w:cs="Arial"/>
          <w:sz w:val="24"/>
          <w:szCs w:val="24"/>
        </w:rPr>
      </w:pPr>
      <w:r w:rsidRPr="00F328FF">
        <w:rPr>
          <w:rFonts w:ascii="Arial" w:hAnsi="Arial" w:cs="Arial"/>
          <w:b/>
          <w:sz w:val="24"/>
          <w:szCs w:val="24"/>
        </w:rPr>
        <w:t>Purchase cards</w:t>
      </w:r>
      <w:r w:rsidRPr="00F328FF">
        <w:rPr>
          <w:rFonts w:ascii="Arial" w:hAnsi="Arial" w:cs="Arial"/>
          <w:sz w:val="24"/>
          <w:szCs w:val="24"/>
        </w:rPr>
        <w:tab/>
        <w:t>(Substantial assurance)</w:t>
      </w:r>
    </w:p>
    <w:p w:rsidR="00C117AF" w:rsidRPr="00C117AF"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 xml:space="preserve">The county council </w:t>
      </w:r>
      <w:r w:rsidRPr="00C117AF">
        <w:rPr>
          <w:rFonts w:ascii="Arial" w:hAnsi="Arial" w:cs="Arial"/>
          <w:sz w:val="24"/>
          <w:szCs w:val="24"/>
        </w:rPr>
        <w:t xml:space="preserve">operates a corporate purchase card scheme </w:t>
      </w:r>
      <w:r>
        <w:rPr>
          <w:rFonts w:ascii="Arial" w:hAnsi="Arial" w:cs="Arial"/>
          <w:sz w:val="24"/>
          <w:szCs w:val="24"/>
        </w:rPr>
        <w:t xml:space="preserve">both </w:t>
      </w:r>
      <w:r w:rsidRPr="00C117AF">
        <w:rPr>
          <w:rFonts w:ascii="Arial" w:hAnsi="Arial" w:cs="Arial"/>
          <w:sz w:val="24"/>
          <w:szCs w:val="24"/>
        </w:rPr>
        <w:t xml:space="preserve">for </w:t>
      </w:r>
      <w:r>
        <w:rPr>
          <w:rFonts w:ascii="Arial" w:hAnsi="Arial" w:cs="Arial"/>
          <w:sz w:val="24"/>
          <w:szCs w:val="24"/>
        </w:rPr>
        <w:t xml:space="preserve">itself and on behalf of the Office of the </w:t>
      </w:r>
      <w:r w:rsidRPr="00C117AF">
        <w:rPr>
          <w:rFonts w:ascii="Arial" w:hAnsi="Arial" w:cs="Arial"/>
          <w:sz w:val="24"/>
          <w:szCs w:val="24"/>
        </w:rPr>
        <w:t xml:space="preserve">Police </w:t>
      </w:r>
      <w:r>
        <w:rPr>
          <w:rFonts w:ascii="Arial" w:hAnsi="Arial" w:cs="Arial"/>
          <w:sz w:val="24"/>
          <w:szCs w:val="24"/>
        </w:rPr>
        <w:t>and Crime Commissioner</w:t>
      </w:r>
      <w:r w:rsidRPr="00C117AF">
        <w:rPr>
          <w:rFonts w:ascii="Arial" w:hAnsi="Arial" w:cs="Arial"/>
          <w:sz w:val="24"/>
          <w:szCs w:val="24"/>
        </w:rPr>
        <w:t xml:space="preserve">, and the scheme is now </w:t>
      </w:r>
      <w:r>
        <w:rPr>
          <w:rFonts w:ascii="Arial" w:hAnsi="Arial" w:cs="Arial"/>
          <w:sz w:val="24"/>
          <w:szCs w:val="24"/>
        </w:rPr>
        <w:t xml:space="preserve">also </w:t>
      </w:r>
      <w:r w:rsidRPr="00C117AF">
        <w:rPr>
          <w:rFonts w:ascii="Arial" w:hAnsi="Arial" w:cs="Arial"/>
          <w:sz w:val="24"/>
          <w:szCs w:val="24"/>
        </w:rPr>
        <w:t xml:space="preserve">being rolled out to schools. </w:t>
      </w:r>
    </w:p>
    <w:p w:rsidR="004535E1"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Pr>
          <w:rFonts w:ascii="Arial" w:hAnsi="Arial" w:cs="Arial"/>
          <w:sz w:val="24"/>
          <w:szCs w:val="24"/>
        </w:rPr>
        <w:t xml:space="preserve">The card is a corporate charge card provided to staff to facilitate paperless electronic ordering and payment of goods, and is settled in full at the end of each monthly </w:t>
      </w:r>
      <w:r w:rsidRPr="00C55D2D">
        <w:rPr>
          <w:rFonts w:ascii="Arial" w:hAnsi="Arial" w:cs="Arial"/>
          <w:sz w:val="24"/>
          <w:szCs w:val="24"/>
        </w:rPr>
        <w:t>statement period. Cards are available to all services that have access to Oracle Financials that regularly order items that are not on the Central Purchasing Team's catalogue and expenditure is expected to amount to £500 per month or more.</w:t>
      </w:r>
    </w:p>
    <w:p w:rsidR="00C117AF" w:rsidRPr="00B01D5D"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B01D5D">
        <w:rPr>
          <w:rFonts w:ascii="Arial" w:hAnsi="Arial" w:cs="Arial"/>
          <w:sz w:val="24"/>
          <w:szCs w:val="24"/>
        </w:rPr>
        <w:t xml:space="preserve"> There is an appropriate policy and supporting guidance for users that is easily accessible on the intranet. Cards are issued in compliance with the acceptance criteria and users confirm that they understand their responsibilities and need to comply with the card use policy.</w:t>
      </w:r>
    </w:p>
    <w:p w:rsidR="0053755F" w:rsidRPr="0053755F" w:rsidRDefault="00E30154" w:rsidP="00F95566">
      <w:pPr>
        <w:numPr>
          <w:ilvl w:val="1"/>
          <w:numId w:val="3"/>
        </w:numPr>
        <w:tabs>
          <w:tab w:val="clear" w:pos="851"/>
          <w:tab w:val="num" w:pos="567"/>
        </w:tabs>
        <w:spacing w:before="120" w:after="120" w:line="240" w:lineRule="auto"/>
        <w:ind w:left="567" w:hanging="567"/>
        <w:jc w:val="both"/>
        <w:rPr>
          <w:rFonts w:ascii="Arial" w:hAnsi="Arial" w:cs="Arial"/>
          <w:sz w:val="24"/>
          <w:szCs w:val="24"/>
        </w:rPr>
      </w:pPr>
      <w:r w:rsidRPr="00C117AF">
        <w:rPr>
          <w:rFonts w:ascii="Arial" w:hAnsi="Arial" w:cs="Arial"/>
          <w:sz w:val="24"/>
          <w:szCs w:val="24"/>
        </w:rPr>
        <w:t xml:space="preserve">The </w:t>
      </w:r>
      <w:r w:rsidRPr="00C55D2D">
        <w:rPr>
          <w:rFonts w:ascii="Arial" w:hAnsi="Arial" w:cs="Arial"/>
          <w:sz w:val="24"/>
          <w:szCs w:val="24"/>
        </w:rPr>
        <w:t xml:space="preserve">Procurement Information Management and Systems </w:t>
      </w:r>
      <w:r w:rsidRPr="00C117AF">
        <w:rPr>
          <w:rFonts w:ascii="Arial" w:hAnsi="Arial" w:cs="Arial"/>
          <w:sz w:val="24"/>
          <w:szCs w:val="24"/>
        </w:rPr>
        <w:t>Team monitor</w:t>
      </w:r>
      <w:r>
        <w:rPr>
          <w:rFonts w:ascii="Arial" w:hAnsi="Arial" w:cs="Arial"/>
          <w:sz w:val="24"/>
          <w:szCs w:val="24"/>
        </w:rPr>
        <w:t xml:space="preserve">s the use of </w:t>
      </w:r>
      <w:r w:rsidRPr="00C117AF">
        <w:rPr>
          <w:rFonts w:ascii="Arial" w:hAnsi="Arial" w:cs="Arial"/>
          <w:sz w:val="24"/>
          <w:szCs w:val="24"/>
        </w:rPr>
        <w:t>card</w:t>
      </w:r>
      <w:r>
        <w:rPr>
          <w:rFonts w:ascii="Arial" w:hAnsi="Arial" w:cs="Arial"/>
          <w:sz w:val="24"/>
          <w:szCs w:val="24"/>
        </w:rPr>
        <w:t>s</w:t>
      </w:r>
      <w:r w:rsidRPr="00C117AF">
        <w:rPr>
          <w:rFonts w:ascii="Arial" w:hAnsi="Arial" w:cs="Arial"/>
          <w:sz w:val="24"/>
          <w:szCs w:val="24"/>
        </w:rPr>
        <w:t>, trends and total</w:t>
      </w:r>
      <w:r>
        <w:rPr>
          <w:rFonts w:ascii="Arial" w:hAnsi="Arial" w:cs="Arial"/>
          <w:sz w:val="24"/>
          <w:szCs w:val="24"/>
        </w:rPr>
        <w:t xml:space="preserve"> expenditure on a monthly basis</w:t>
      </w:r>
      <w:r w:rsidRPr="00C117AF">
        <w:rPr>
          <w:rFonts w:ascii="Arial" w:hAnsi="Arial" w:cs="Arial"/>
          <w:sz w:val="24"/>
          <w:szCs w:val="24"/>
        </w:rPr>
        <w:t xml:space="preserve"> to confirm </w:t>
      </w:r>
      <w:r>
        <w:rPr>
          <w:rFonts w:ascii="Arial" w:hAnsi="Arial" w:cs="Arial"/>
          <w:sz w:val="24"/>
          <w:szCs w:val="24"/>
        </w:rPr>
        <w:t xml:space="preserve">that the expenditure on the card </w:t>
      </w:r>
      <w:r w:rsidRPr="00C117AF">
        <w:rPr>
          <w:rFonts w:ascii="Arial" w:hAnsi="Arial" w:cs="Arial"/>
          <w:sz w:val="24"/>
          <w:szCs w:val="24"/>
        </w:rPr>
        <w:t xml:space="preserve">justifies </w:t>
      </w:r>
      <w:r>
        <w:rPr>
          <w:rFonts w:ascii="Arial" w:hAnsi="Arial" w:cs="Arial"/>
          <w:sz w:val="24"/>
          <w:szCs w:val="24"/>
        </w:rPr>
        <w:t>its use</w:t>
      </w:r>
      <w:r w:rsidRPr="00C117AF">
        <w:rPr>
          <w:rFonts w:ascii="Arial" w:hAnsi="Arial" w:cs="Arial"/>
          <w:sz w:val="24"/>
          <w:szCs w:val="24"/>
        </w:rPr>
        <w:t xml:space="preserve">. Card holders' managers and budget holders monitor </w:t>
      </w:r>
      <w:r>
        <w:rPr>
          <w:rFonts w:ascii="Arial" w:hAnsi="Arial" w:cs="Arial"/>
          <w:sz w:val="24"/>
          <w:szCs w:val="24"/>
        </w:rPr>
        <w:t>that expenditure is for business purposes.</w:t>
      </w:r>
    </w:p>
    <w:sectPr w:rsidR="0053755F" w:rsidRPr="0053755F" w:rsidSect="004E5A0A">
      <w:headerReference w:type="default" r:id="rId8"/>
      <w:footerReference w:type="even" r:id="rId9"/>
      <w:footerReference w:type="default" r:id="rId10"/>
      <w:headerReference w:type="first" r:id="rId11"/>
      <w:footerReference w:type="first" r:id="rId12"/>
      <w:pgSz w:w="11906" w:h="16838"/>
      <w:pgMar w:top="1418" w:right="1416" w:bottom="125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074" w:rsidRDefault="00E30154">
      <w:pPr>
        <w:spacing w:line="240" w:lineRule="auto"/>
      </w:pPr>
      <w:r>
        <w:separator/>
      </w:r>
    </w:p>
  </w:endnote>
  <w:endnote w:type="continuationSeparator" w:id="0">
    <w:p w:rsidR="00614074" w:rsidRDefault="00E30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0A" w:rsidRDefault="00E301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5A0A" w:rsidRDefault="00BB58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0A" w:rsidRPr="002D79E8" w:rsidRDefault="00BB583A" w:rsidP="004E5A0A">
    <w:pPr>
      <w:pStyle w:val="Footer"/>
      <w:framePr w:wrap="around" w:vAnchor="text" w:hAnchor="page" w:x="10213" w:y="1"/>
      <w:rPr>
        <w:rStyle w:val="PageNumber"/>
        <w:rFonts w:ascii="Arial" w:hAnsi="Arial" w:cs="Arial"/>
        <w:sz w:val="24"/>
        <w:szCs w:val="24"/>
      </w:rPr>
    </w:pPr>
  </w:p>
  <w:p w:rsidR="004E5A0A" w:rsidRPr="002D79E8" w:rsidRDefault="00E30154" w:rsidP="004E5A0A">
    <w:pPr>
      <w:pStyle w:val="Footer"/>
      <w:tabs>
        <w:tab w:val="clear" w:pos="4153"/>
        <w:tab w:val="clear" w:pos="8306"/>
        <w:tab w:val="right" w:pos="8647"/>
      </w:tabs>
      <w:rPr>
        <w:rFonts w:ascii="Arial" w:hAnsi="Arial" w:cs="Arial"/>
        <w:sz w:val="24"/>
        <w:szCs w:val="24"/>
      </w:rPr>
    </w:pPr>
    <w:r w:rsidRPr="002D79E8">
      <w:rPr>
        <w:rFonts w:ascii="Arial" w:hAnsi="Arial" w:cs="Arial"/>
        <w:sz w:val="24"/>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8FD" w:rsidRPr="00C038FD" w:rsidRDefault="00E30154" w:rsidP="00F3084C">
    <w:pPr>
      <w:pStyle w:val="Footer"/>
      <w:tabs>
        <w:tab w:val="clear" w:pos="4153"/>
        <w:tab w:val="clear" w:pos="8306"/>
        <w:tab w:val="left" w:pos="2860"/>
        <w:tab w:val="right" w:pos="8647"/>
      </w:tabs>
      <w:rPr>
        <w:rFonts w:ascii="Arial" w:hAnsi="Arial" w:cs="Arial"/>
        <w:sz w:val="24"/>
        <w:szCs w:val="24"/>
      </w:rPr>
    </w:pPr>
    <w:r w:rsidRPr="002D79E8">
      <w:rPr>
        <w:rFonts w:ascii="Arial" w:hAnsi="Arial" w:cs="Arial"/>
        <w:sz w:val="24"/>
        <w:szCs w:val="24"/>
      </w:rPr>
      <w:tab/>
    </w:r>
    <w:r>
      <w:rPr>
        <w:rFonts w:ascii="Arial" w:hAnsi="Arial" w:cs="Arial"/>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074" w:rsidRDefault="00E30154">
      <w:pPr>
        <w:spacing w:line="240" w:lineRule="auto"/>
      </w:pPr>
      <w:r>
        <w:separator/>
      </w:r>
    </w:p>
  </w:footnote>
  <w:footnote w:type="continuationSeparator" w:id="0">
    <w:p w:rsidR="00614074" w:rsidRDefault="00E301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0A" w:rsidRDefault="00E30154">
    <w:pPr>
      <w:pStyle w:val="Header"/>
      <w:rPr>
        <w:rFonts w:ascii="Arial" w:hAnsi="Arial" w:cs="Arial"/>
        <w:b/>
        <w:sz w:val="24"/>
        <w:szCs w:val="24"/>
      </w:rPr>
    </w:pPr>
    <w:r>
      <w:rPr>
        <w:rFonts w:ascii="Arial" w:hAnsi="Arial" w:cs="Arial"/>
        <w:b/>
        <w:sz w:val="24"/>
        <w:szCs w:val="24"/>
      </w:rPr>
      <w:t>Internal Audit Service progress against plan 2017/18</w:t>
    </w:r>
  </w:p>
  <w:p w:rsidR="004E5A0A" w:rsidRPr="00CF65CC" w:rsidRDefault="00E30154">
    <w:pPr>
      <w:pStyle w:val="Header"/>
      <w:rPr>
        <w:rFonts w:ascii="Arial" w:hAnsi="Arial" w:cs="Arial"/>
        <w:sz w:val="24"/>
        <w:szCs w:val="24"/>
      </w:rPr>
    </w:pPr>
    <w:r>
      <w:rPr>
        <w:rFonts w:ascii="Arial" w:hAnsi="Arial" w:cs="Arial"/>
        <w:sz w:val="24"/>
        <w:szCs w:val="24"/>
      </w:rPr>
      <w:t>Audit, Risk and Governance Committee meeting 30 April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0A" w:rsidRDefault="00E30154" w:rsidP="004E5A0A">
    <w:pPr>
      <w:pStyle w:val="Header"/>
      <w:tabs>
        <w:tab w:val="clear" w:pos="8306"/>
        <w:tab w:val="right" w:pos="9072"/>
      </w:tabs>
      <w:rPr>
        <w:rFonts w:ascii="Arial" w:hAnsi="Arial" w:cs="Arial"/>
        <w:b/>
        <w:sz w:val="24"/>
        <w:szCs w:val="24"/>
      </w:rPr>
    </w:pPr>
    <w:r>
      <w:rPr>
        <w:rFonts w:ascii="Arial" w:hAnsi="Arial" w:cs="Arial"/>
        <w:b/>
        <w:sz w:val="24"/>
        <w:szCs w:val="24"/>
      </w:rPr>
      <w:t>Internal Audit Service progress against plan 2017/18</w:t>
    </w:r>
    <w:r>
      <w:rPr>
        <w:rFonts w:ascii="Arial" w:hAnsi="Arial" w:cs="Arial"/>
        <w:b/>
        <w:sz w:val="24"/>
        <w:szCs w:val="24"/>
      </w:rPr>
      <w:tab/>
    </w:r>
  </w:p>
  <w:p w:rsidR="004E5A0A" w:rsidRPr="00FF4F56" w:rsidRDefault="00E30154">
    <w:pPr>
      <w:pStyle w:val="Header"/>
      <w:rPr>
        <w:rFonts w:ascii="Arial" w:hAnsi="Arial" w:cs="Arial"/>
        <w:sz w:val="24"/>
        <w:szCs w:val="24"/>
      </w:rPr>
    </w:pPr>
    <w:r>
      <w:rPr>
        <w:rFonts w:ascii="Arial" w:hAnsi="Arial" w:cs="Arial"/>
        <w:sz w:val="24"/>
        <w:szCs w:val="24"/>
      </w:rPr>
      <w:t>Audit, Risk and Governance Committee meeting 30 April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3C26108"/>
    <w:lvl w:ilvl="0">
      <w:start w:val="1"/>
      <w:numFmt w:val="decimal"/>
      <w:pStyle w:val="ListNumber"/>
      <w:lvlText w:val="%1."/>
      <w:lvlJc w:val="left"/>
      <w:pPr>
        <w:tabs>
          <w:tab w:val="num" w:pos="360"/>
        </w:tabs>
        <w:ind w:left="360" w:hanging="360"/>
      </w:pPr>
    </w:lvl>
  </w:abstractNum>
  <w:abstractNum w:abstractNumId="1" w15:restartNumberingAfterBreak="0">
    <w:nsid w:val="00671E32"/>
    <w:multiLevelType w:val="multilevel"/>
    <w:tmpl w:val="53821ECA"/>
    <w:styleLink w:val="Ruth-numberedparagraphoutline"/>
    <w:lvl w:ilvl="0">
      <w:start w:val="1"/>
      <w:numFmt w:val="decimal"/>
      <w:lvlText w:val="%1."/>
      <w:lvlJc w:val="left"/>
      <w:pPr>
        <w:ind w:left="360" w:hanging="360"/>
      </w:pPr>
      <w:rPr>
        <w:rFonts w:asciiTheme="minorHAnsi" w:hAnsiTheme="minorHAns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AE3156"/>
    <w:multiLevelType w:val="multilevel"/>
    <w:tmpl w:val="41FE2414"/>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3" w15:restartNumberingAfterBreak="0">
    <w:nsid w:val="19DC4E83"/>
    <w:multiLevelType w:val="multilevel"/>
    <w:tmpl w:val="AB209452"/>
    <w:lvl w:ilvl="0">
      <w:start w:val="1"/>
      <w:numFmt w:val="decimal"/>
      <w:lvlText w:val="%1."/>
      <w:lvlJc w:val="left"/>
      <w:pPr>
        <w:ind w:left="360" w:hanging="360"/>
      </w:pPr>
    </w:lvl>
    <w:lvl w:ilvl="1">
      <w:start w:val="1"/>
      <w:numFmt w:val="decimal"/>
      <w:lvlText w:val="%1.%2."/>
      <w:lvlJc w:val="left"/>
      <w:pPr>
        <w:ind w:left="1992" w:hanging="432"/>
      </w:pPr>
      <w:rPr>
        <w:rFonts w:ascii="Arial" w:hAnsi="Arial" w:cs="Aria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7975DB"/>
    <w:multiLevelType w:val="hybridMultilevel"/>
    <w:tmpl w:val="5D32C190"/>
    <w:lvl w:ilvl="0" w:tplc="0590BB52">
      <w:start w:val="1"/>
      <w:numFmt w:val="bullet"/>
      <w:lvlText w:val=""/>
      <w:lvlJc w:val="left"/>
      <w:pPr>
        <w:tabs>
          <w:tab w:val="num" w:pos="720"/>
        </w:tabs>
        <w:ind w:left="720" w:hanging="360"/>
      </w:pPr>
      <w:rPr>
        <w:rFonts w:ascii="Symbol" w:hAnsi="Symbol" w:hint="default"/>
      </w:rPr>
    </w:lvl>
    <w:lvl w:ilvl="1" w:tplc="C7F6DC9A" w:tentative="1">
      <w:start w:val="1"/>
      <w:numFmt w:val="bullet"/>
      <w:lvlText w:val="o"/>
      <w:lvlJc w:val="left"/>
      <w:pPr>
        <w:tabs>
          <w:tab w:val="num" w:pos="1440"/>
        </w:tabs>
        <w:ind w:left="1440" w:hanging="360"/>
      </w:pPr>
      <w:rPr>
        <w:rFonts w:ascii="Courier New" w:hAnsi="Courier New" w:hint="default"/>
      </w:rPr>
    </w:lvl>
    <w:lvl w:ilvl="2" w:tplc="A2CC098C" w:tentative="1">
      <w:start w:val="1"/>
      <w:numFmt w:val="bullet"/>
      <w:lvlText w:val=""/>
      <w:lvlJc w:val="left"/>
      <w:pPr>
        <w:tabs>
          <w:tab w:val="num" w:pos="2160"/>
        </w:tabs>
        <w:ind w:left="2160" w:hanging="360"/>
      </w:pPr>
      <w:rPr>
        <w:rFonts w:ascii="Wingdings" w:hAnsi="Wingdings" w:hint="default"/>
      </w:rPr>
    </w:lvl>
    <w:lvl w:ilvl="3" w:tplc="BD96BA5E" w:tentative="1">
      <w:start w:val="1"/>
      <w:numFmt w:val="bullet"/>
      <w:lvlText w:val=""/>
      <w:lvlJc w:val="left"/>
      <w:pPr>
        <w:tabs>
          <w:tab w:val="num" w:pos="2880"/>
        </w:tabs>
        <w:ind w:left="2880" w:hanging="360"/>
      </w:pPr>
      <w:rPr>
        <w:rFonts w:ascii="Symbol" w:hAnsi="Symbol" w:hint="default"/>
      </w:rPr>
    </w:lvl>
    <w:lvl w:ilvl="4" w:tplc="35624CF6" w:tentative="1">
      <w:start w:val="1"/>
      <w:numFmt w:val="bullet"/>
      <w:lvlText w:val="o"/>
      <w:lvlJc w:val="left"/>
      <w:pPr>
        <w:tabs>
          <w:tab w:val="num" w:pos="3600"/>
        </w:tabs>
        <w:ind w:left="3600" w:hanging="360"/>
      </w:pPr>
      <w:rPr>
        <w:rFonts w:ascii="Courier New" w:hAnsi="Courier New" w:hint="default"/>
      </w:rPr>
    </w:lvl>
    <w:lvl w:ilvl="5" w:tplc="03F6782E" w:tentative="1">
      <w:start w:val="1"/>
      <w:numFmt w:val="bullet"/>
      <w:lvlText w:val=""/>
      <w:lvlJc w:val="left"/>
      <w:pPr>
        <w:tabs>
          <w:tab w:val="num" w:pos="4320"/>
        </w:tabs>
        <w:ind w:left="4320" w:hanging="360"/>
      </w:pPr>
      <w:rPr>
        <w:rFonts w:ascii="Wingdings" w:hAnsi="Wingdings" w:hint="default"/>
      </w:rPr>
    </w:lvl>
    <w:lvl w:ilvl="6" w:tplc="1A664242" w:tentative="1">
      <w:start w:val="1"/>
      <w:numFmt w:val="bullet"/>
      <w:lvlText w:val=""/>
      <w:lvlJc w:val="left"/>
      <w:pPr>
        <w:tabs>
          <w:tab w:val="num" w:pos="5040"/>
        </w:tabs>
        <w:ind w:left="5040" w:hanging="360"/>
      </w:pPr>
      <w:rPr>
        <w:rFonts w:ascii="Symbol" w:hAnsi="Symbol" w:hint="default"/>
      </w:rPr>
    </w:lvl>
    <w:lvl w:ilvl="7" w:tplc="500645BE" w:tentative="1">
      <w:start w:val="1"/>
      <w:numFmt w:val="bullet"/>
      <w:lvlText w:val="o"/>
      <w:lvlJc w:val="left"/>
      <w:pPr>
        <w:tabs>
          <w:tab w:val="num" w:pos="5760"/>
        </w:tabs>
        <w:ind w:left="5760" w:hanging="360"/>
      </w:pPr>
      <w:rPr>
        <w:rFonts w:ascii="Courier New" w:hAnsi="Courier New" w:hint="default"/>
      </w:rPr>
    </w:lvl>
    <w:lvl w:ilvl="8" w:tplc="1E54F3D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C36C7E"/>
    <w:multiLevelType w:val="hybridMultilevel"/>
    <w:tmpl w:val="DE5610E0"/>
    <w:lvl w:ilvl="0" w:tplc="8160E712">
      <w:start w:val="1"/>
      <w:numFmt w:val="bullet"/>
      <w:lvlText w:val=""/>
      <w:lvlJc w:val="left"/>
      <w:pPr>
        <w:ind w:left="1211" w:hanging="360"/>
      </w:pPr>
      <w:rPr>
        <w:rFonts w:ascii="Symbol" w:hAnsi="Symbol" w:hint="default"/>
      </w:rPr>
    </w:lvl>
    <w:lvl w:ilvl="1" w:tplc="27A0921A" w:tentative="1">
      <w:start w:val="1"/>
      <w:numFmt w:val="bullet"/>
      <w:lvlText w:val="o"/>
      <w:lvlJc w:val="left"/>
      <w:pPr>
        <w:ind w:left="1931" w:hanging="360"/>
      </w:pPr>
      <w:rPr>
        <w:rFonts w:ascii="Courier New" w:hAnsi="Courier New" w:cs="Courier New" w:hint="default"/>
      </w:rPr>
    </w:lvl>
    <w:lvl w:ilvl="2" w:tplc="766CAEEA" w:tentative="1">
      <w:start w:val="1"/>
      <w:numFmt w:val="bullet"/>
      <w:lvlText w:val=""/>
      <w:lvlJc w:val="left"/>
      <w:pPr>
        <w:ind w:left="2651" w:hanging="360"/>
      </w:pPr>
      <w:rPr>
        <w:rFonts w:ascii="Wingdings" w:hAnsi="Wingdings" w:hint="default"/>
      </w:rPr>
    </w:lvl>
    <w:lvl w:ilvl="3" w:tplc="E1EEF4F6" w:tentative="1">
      <w:start w:val="1"/>
      <w:numFmt w:val="bullet"/>
      <w:lvlText w:val=""/>
      <w:lvlJc w:val="left"/>
      <w:pPr>
        <w:ind w:left="3371" w:hanging="360"/>
      </w:pPr>
      <w:rPr>
        <w:rFonts w:ascii="Symbol" w:hAnsi="Symbol" w:hint="default"/>
      </w:rPr>
    </w:lvl>
    <w:lvl w:ilvl="4" w:tplc="08307CA0" w:tentative="1">
      <w:start w:val="1"/>
      <w:numFmt w:val="bullet"/>
      <w:lvlText w:val="o"/>
      <w:lvlJc w:val="left"/>
      <w:pPr>
        <w:ind w:left="4091" w:hanging="360"/>
      </w:pPr>
      <w:rPr>
        <w:rFonts w:ascii="Courier New" w:hAnsi="Courier New" w:cs="Courier New" w:hint="default"/>
      </w:rPr>
    </w:lvl>
    <w:lvl w:ilvl="5" w:tplc="6B6CAA88" w:tentative="1">
      <w:start w:val="1"/>
      <w:numFmt w:val="bullet"/>
      <w:lvlText w:val=""/>
      <w:lvlJc w:val="left"/>
      <w:pPr>
        <w:ind w:left="4811" w:hanging="360"/>
      </w:pPr>
      <w:rPr>
        <w:rFonts w:ascii="Wingdings" w:hAnsi="Wingdings" w:hint="default"/>
      </w:rPr>
    </w:lvl>
    <w:lvl w:ilvl="6" w:tplc="8F4CD25E" w:tentative="1">
      <w:start w:val="1"/>
      <w:numFmt w:val="bullet"/>
      <w:lvlText w:val=""/>
      <w:lvlJc w:val="left"/>
      <w:pPr>
        <w:ind w:left="5531" w:hanging="360"/>
      </w:pPr>
      <w:rPr>
        <w:rFonts w:ascii="Symbol" w:hAnsi="Symbol" w:hint="default"/>
      </w:rPr>
    </w:lvl>
    <w:lvl w:ilvl="7" w:tplc="04F692D4" w:tentative="1">
      <w:start w:val="1"/>
      <w:numFmt w:val="bullet"/>
      <w:lvlText w:val="o"/>
      <w:lvlJc w:val="left"/>
      <w:pPr>
        <w:ind w:left="6251" w:hanging="360"/>
      </w:pPr>
      <w:rPr>
        <w:rFonts w:ascii="Courier New" w:hAnsi="Courier New" w:cs="Courier New" w:hint="default"/>
      </w:rPr>
    </w:lvl>
    <w:lvl w:ilvl="8" w:tplc="4A5C3E32" w:tentative="1">
      <w:start w:val="1"/>
      <w:numFmt w:val="bullet"/>
      <w:lvlText w:val=""/>
      <w:lvlJc w:val="left"/>
      <w:pPr>
        <w:ind w:left="6971" w:hanging="360"/>
      </w:pPr>
      <w:rPr>
        <w:rFonts w:ascii="Wingdings" w:hAnsi="Wingdings" w:hint="default"/>
      </w:rPr>
    </w:lvl>
  </w:abstractNum>
  <w:abstractNum w:abstractNumId="6" w15:restartNumberingAfterBreak="0">
    <w:nsid w:val="300566A1"/>
    <w:multiLevelType w:val="multilevel"/>
    <w:tmpl w:val="0809001F"/>
    <w:styleLink w:val="Ruth-numberedheading"/>
    <w:lvl w:ilvl="0">
      <w:start w:val="1"/>
      <w:numFmt w:val="decimal"/>
      <w:lvlText w:val="%1."/>
      <w:lvlJc w:val="left"/>
      <w:pPr>
        <w:ind w:left="360" w:hanging="360"/>
      </w:pPr>
      <w:rPr>
        <w:rFonts w:ascii="Arial" w:hAnsi="Arial"/>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2A1A9B"/>
    <w:multiLevelType w:val="singleLevel"/>
    <w:tmpl w:val="7D02350E"/>
    <w:lvl w:ilvl="0">
      <w:start w:val="1"/>
      <w:numFmt w:val="decimal"/>
      <w:pStyle w:val="Ruth-numberedparagraph"/>
      <w:lvlText w:val="%1."/>
      <w:lvlJc w:val="left"/>
      <w:pPr>
        <w:ind w:left="360" w:hanging="36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6540097"/>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9" w15:restartNumberingAfterBreak="0">
    <w:nsid w:val="70B21F8D"/>
    <w:multiLevelType w:val="multilevel"/>
    <w:tmpl w:val="E7FC5986"/>
    <w:lvl w:ilvl="0">
      <w:start w:val="1"/>
      <w:numFmt w:val="decimal"/>
      <w:pStyle w:val="Ruthsnumberedheading"/>
      <w:lvlText w:val="%1."/>
      <w:lvlJc w:val="left"/>
      <w:pPr>
        <w:ind w:left="720" w:hanging="72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uthsparagraph"/>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7AE21058"/>
    <w:multiLevelType w:val="multilevel"/>
    <w:tmpl w:val="8E945A5A"/>
    <w:lvl w:ilvl="0">
      <w:start w:val="1"/>
      <w:numFmt w:val="decimal"/>
      <w:lvlText w:val="%1."/>
      <w:lvlJc w:val="left"/>
      <w:pPr>
        <w:ind w:left="360" w:hanging="360"/>
      </w:pPr>
      <w:rPr>
        <w:rFonts w:hint="default"/>
      </w:rPr>
    </w:lvl>
    <w:lvl w:ilvl="1">
      <w:start w:val="1"/>
      <w:numFmt w:val="decimal"/>
      <w:lvlText w:val="%1.%2."/>
      <w:lvlJc w:val="left"/>
      <w:pPr>
        <w:ind w:left="2843" w:hanging="432"/>
      </w:pPr>
      <w:rPr>
        <w:rFonts w:hint="default"/>
        <w:b w:val="0"/>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9"/>
  </w:num>
  <w:num w:numId="3">
    <w:abstractNumId w:val="2"/>
  </w:num>
  <w:num w:numId="4">
    <w:abstractNumId w:val="1"/>
  </w:num>
  <w:num w:numId="5">
    <w:abstractNumId w:val="6"/>
  </w:num>
  <w:num w:numId="6">
    <w:abstractNumId w:val="7"/>
  </w:num>
  <w:num w:numId="7">
    <w:abstractNumId w:val="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4"/>
  </w:num>
  <w:num w:numId="11">
    <w:abstractNumId w:val="0"/>
  </w:num>
  <w:num w:numId="12">
    <w:abstractNumId w:val="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B8"/>
    <w:rsid w:val="002179C2"/>
    <w:rsid w:val="00277CB8"/>
    <w:rsid w:val="00614074"/>
    <w:rsid w:val="0087355F"/>
    <w:rsid w:val="00B45A1D"/>
    <w:rsid w:val="00BB583A"/>
    <w:rsid w:val="00D30439"/>
    <w:rsid w:val="00E30154"/>
    <w:rsid w:val="00F95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C53252-7575-46BE-9F54-C11E6E43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7B1"/>
    <w:pPr>
      <w:spacing w:line="260" w:lineRule="atLeast"/>
    </w:pPr>
    <w:rPr>
      <w:sz w:val="20"/>
      <w:szCs w:val="20"/>
      <w:lang w:eastAsia="en-US"/>
    </w:rPr>
  </w:style>
  <w:style w:type="paragraph" w:styleId="Heading1">
    <w:name w:val="heading 1"/>
    <w:basedOn w:val="Normal"/>
    <w:next w:val="Normal"/>
    <w:link w:val="Heading1Char"/>
    <w:qFormat/>
    <w:locked/>
    <w:rsid w:val="00AD41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locked/>
    <w:rsid w:val="00414763"/>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BodyText"/>
    <w:link w:val="Heading7Char"/>
    <w:uiPriority w:val="99"/>
    <w:qFormat/>
    <w:rsid w:val="00684C8B"/>
    <w:pPr>
      <w:spacing w:before="240" w:after="60" w:line="240" w:lineRule="auto"/>
      <w:outlineLvl w:val="6"/>
    </w:pPr>
    <w:rPr>
      <w:rFonts w:ascii="Calibri" w:hAnsi="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684C8B"/>
    <w:rPr>
      <w:rFonts w:ascii="Calibri" w:hAnsi="Calibri" w:cs="Times New Roman"/>
      <w:sz w:val="24"/>
      <w:szCs w:val="24"/>
    </w:rPr>
  </w:style>
  <w:style w:type="paragraph" w:styleId="Header">
    <w:name w:val="header"/>
    <w:basedOn w:val="Normal"/>
    <w:link w:val="HeaderChar"/>
    <w:uiPriority w:val="99"/>
    <w:rsid w:val="007F77B1"/>
    <w:pPr>
      <w:tabs>
        <w:tab w:val="center" w:pos="4153"/>
        <w:tab w:val="right" w:pos="8306"/>
      </w:tabs>
    </w:pPr>
  </w:style>
  <w:style w:type="character" w:customStyle="1" w:styleId="HeaderChar">
    <w:name w:val="Header Char"/>
    <w:basedOn w:val="DefaultParagraphFont"/>
    <w:link w:val="Header"/>
    <w:uiPriority w:val="99"/>
    <w:semiHidden/>
    <w:locked/>
    <w:rsid w:val="005E1DBC"/>
    <w:rPr>
      <w:rFonts w:cs="Times New Roman"/>
      <w:sz w:val="20"/>
      <w:szCs w:val="20"/>
      <w:lang w:eastAsia="en-US"/>
    </w:rPr>
  </w:style>
  <w:style w:type="paragraph" w:styleId="Footer">
    <w:name w:val="footer"/>
    <w:basedOn w:val="Normal"/>
    <w:link w:val="FooterChar"/>
    <w:uiPriority w:val="99"/>
    <w:rsid w:val="007F77B1"/>
    <w:pPr>
      <w:tabs>
        <w:tab w:val="center" w:pos="4153"/>
        <w:tab w:val="right" w:pos="8306"/>
      </w:tabs>
    </w:pPr>
  </w:style>
  <w:style w:type="character" w:customStyle="1" w:styleId="FooterChar">
    <w:name w:val="Footer Char"/>
    <w:basedOn w:val="DefaultParagraphFont"/>
    <w:link w:val="Footer"/>
    <w:uiPriority w:val="99"/>
    <w:locked/>
    <w:rsid w:val="005E1DBC"/>
    <w:rPr>
      <w:rFonts w:cs="Times New Roman"/>
      <w:sz w:val="20"/>
      <w:szCs w:val="20"/>
      <w:lang w:eastAsia="en-US"/>
    </w:rPr>
  </w:style>
  <w:style w:type="character" w:styleId="PageNumber">
    <w:name w:val="page number"/>
    <w:basedOn w:val="DefaultParagraphFont"/>
    <w:uiPriority w:val="99"/>
    <w:rsid w:val="007F77B1"/>
    <w:rPr>
      <w:rFonts w:cs="Times New Roman"/>
    </w:rPr>
  </w:style>
  <w:style w:type="paragraph" w:styleId="ListParagraph">
    <w:name w:val="List Paragraph"/>
    <w:basedOn w:val="Normal"/>
    <w:link w:val="ListParagraphChar"/>
    <w:uiPriority w:val="34"/>
    <w:qFormat/>
    <w:rsid w:val="00067D93"/>
    <w:pPr>
      <w:ind w:left="720"/>
    </w:pPr>
  </w:style>
  <w:style w:type="paragraph" w:styleId="BalloonText">
    <w:name w:val="Balloon Text"/>
    <w:basedOn w:val="Normal"/>
    <w:link w:val="BalloonTextChar"/>
    <w:uiPriority w:val="99"/>
    <w:semiHidden/>
    <w:rsid w:val="00E51D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1D7C"/>
    <w:rPr>
      <w:rFonts w:ascii="Tahoma" w:hAnsi="Tahoma" w:cs="Tahoma"/>
      <w:sz w:val="16"/>
      <w:szCs w:val="16"/>
      <w:lang w:eastAsia="en-US"/>
    </w:rPr>
  </w:style>
  <w:style w:type="paragraph" w:styleId="BodyText">
    <w:name w:val="Body Text"/>
    <w:basedOn w:val="Normal"/>
    <w:link w:val="BodyTextChar"/>
    <w:uiPriority w:val="99"/>
    <w:rsid w:val="00874DD5"/>
    <w:pPr>
      <w:spacing w:before="60" w:after="260" w:line="240" w:lineRule="auto"/>
    </w:pPr>
    <w:rPr>
      <w:rFonts w:ascii="Arial" w:hAnsi="Arial"/>
      <w:sz w:val="24"/>
      <w:szCs w:val="24"/>
      <w:lang w:eastAsia="en-GB"/>
    </w:rPr>
  </w:style>
  <w:style w:type="character" w:customStyle="1" w:styleId="BodyTextChar">
    <w:name w:val="Body Text Char"/>
    <w:basedOn w:val="DefaultParagraphFont"/>
    <w:link w:val="BodyText"/>
    <w:uiPriority w:val="99"/>
    <w:locked/>
    <w:rsid w:val="00874DD5"/>
    <w:rPr>
      <w:rFonts w:ascii="Arial" w:hAnsi="Arial" w:cs="Times New Roman"/>
      <w:sz w:val="24"/>
      <w:szCs w:val="24"/>
    </w:rPr>
  </w:style>
  <w:style w:type="paragraph" w:customStyle="1" w:styleId="Ruth-bullet">
    <w:name w:val="Ruth - bullet"/>
    <w:basedOn w:val="ListParagraph"/>
    <w:link w:val="Ruth-bulletChar"/>
    <w:uiPriority w:val="99"/>
    <w:rsid w:val="00856E2E"/>
    <w:pPr>
      <w:spacing w:before="120" w:after="120" w:line="240" w:lineRule="auto"/>
      <w:ind w:hanging="360"/>
    </w:pPr>
    <w:rPr>
      <w:rFonts w:ascii="Calibri" w:hAnsi="Calibri"/>
      <w:sz w:val="24"/>
      <w:szCs w:val="24"/>
      <w:lang w:eastAsia="en-GB"/>
    </w:rPr>
  </w:style>
  <w:style w:type="character" w:customStyle="1" w:styleId="Ruth-bulletChar">
    <w:name w:val="Ruth - bullet Char"/>
    <w:basedOn w:val="DefaultParagraphFont"/>
    <w:link w:val="Ruth-bullet"/>
    <w:uiPriority w:val="99"/>
    <w:locked/>
    <w:rsid w:val="00856E2E"/>
    <w:rPr>
      <w:rFonts w:ascii="Calibri" w:hAnsi="Calibri" w:cs="Times New Roman"/>
      <w:sz w:val="24"/>
      <w:szCs w:val="24"/>
    </w:rPr>
  </w:style>
  <w:style w:type="paragraph" w:customStyle="1" w:styleId="Ruthsbulletpoint">
    <w:name w:val="Ruth's bullet point"/>
    <w:basedOn w:val="Normal"/>
    <w:link w:val="RuthsbulletpointChar"/>
    <w:uiPriority w:val="99"/>
    <w:rsid w:val="00684C8B"/>
    <w:pPr>
      <w:spacing w:before="120" w:after="120" w:line="240" w:lineRule="auto"/>
      <w:ind w:left="720" w:hanging="360"/>
    </w:pPr>
    <w:rPr>
      <w:rFonts w:ascii="Arial" w:hAnsi="Arial"/>
      <w:sz w:val="24"/>
      <w:szCs w:val="24"/>
      <w:lang w:eastAsia="en-GB"/>
    </w:rPr>
  </w:style>
  <w:style w:type="character" w:customStyle="1" w:styleId="RuthsbulletpointChar">
    <w:name w:val="Ruth's bullet point Char"/>
    <w:basedOn w:val="DefaultParagraphFont"/>
    <w:link w:val="Ruthsbulletpoint"/>
    <w:uiPriority w:val="99"/>
    <w:locked/>
    <w:rsid w:val="00684C8B"/>
    <w:rPr>
      <w:rFonts w:ascii="Arial" w:hAnsi="Arial" w:cs="Times New Roman"/>
      <w:sz w:val="24"/>
      <w:szCs w:val="24"/>
    </w:rPr>
  </w:style>
  <w:style w:type="character" w:styleId="CommentReference">
    <w:name w:val="annotation reference"/>
    <w:basedOn w:val="DefaultParagraphFont"/>
    <w:semiHidden/>
    <w:rsid w:val="0074730A"/>
    <w:rPr>
      <w:rFonts w:cs="Times New Roman"/>
      <w:sz w:val="16"/>
      <w:szCs w:val="16"/>
    </w:rPr>
  </w:style>
  <w:style w:type="paragraph" w:styleId="CommentText">
    <w:name w:val="annotation text"/>
    <w:basedOn w:val="Normal"/>
    <w:link w:val="CommentTextChar"/>
    <w:semiHidden/>
    <w:rsid w:val="0074730A"/>
    <w:pPr>
      <w:spacing w:line="240" w:lineRule="auto"/>
    </w:pPr>
  </w:style>
  <w:style w:type="character" w:customStyle="1" w:styleId="CommentTextChar">
    <w:name w:val="Comment Text Char"/>
    <w:basedOn w:val="DefaultParagraphFont"/>
    <w:link w:val="CommentText"/>
    <w:semiHidden/>
    <w:locked/>
    <w:rsid w:val="0074730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4730A"/>
    <w:rPr>
      <w:b/>
      <w:bCs/>
    </w:rPr>
  </w:style>
  <w:style w:type="character" w:customStyle="1" w:styleId="CommentSubjectChar">
    <w:name w:val="Comment Subject Char"/>
    <w:basedOn w:val="CommentTextChar"/>
    <w:link w:val="CommentSubject"/>
    <w:uiPriority w:val="99"/>
    <w:semiHidden/>
    <w:locked/>
    <w:rsid w:val="0074730A"/>
    <w:rPr>
      <w:rFonts w:cs="Times New Roman"/>
      <w:b/>
      <w:bCs/>
      <w:sz w:val="20"/>
      <w:szCs w:val="20"/>
      <w:lang w:eastAsia="en-US"/>
    </w:rPr>
  </w:style>
  <w:style w:type="paragraph" w:styleId="ListBullet">
    <w:name w:val="List Bullet"/>
    <w:basedOn w:val="Normal"/>
    <w:autoRedefine/>
    <w:rsid w:val="00806279"/>
    <w:pPr>
      <w:tabs>
        <w:tab w:val="num" w:pos="360"/>
      </w:tabs>
      <w:spacing w:line="240" w:lineRule="auto"/>
      <w:ind w:left="360" w:hanging="360"/>
    </w:pPr>
    <w:rPr>
      <w:rFonts w:ascii="Univers" w:hAnsi="Univers"/>
      <w:sz w:val="22"/>
    </w:rPr>
  </w:style>
  <w:style w:type="character" w:customStyle="1" w:styleId="ListParagraphChar">
    <w:name w:val="List Paragraph Char"/>
    <w:basedOn w:val="DefaultParagraphFont"/>
    <w:link w:val="ListParagraph"/>
    <w:uiPriority w:val="34"/>
    <w:locked/>
    <w:rsid w:val="00D03CD8"/>
    <w:rPr>
      <w:rFonts w:cs="Times New Roman"/>
      <w:sz w:val="20"/>
      <w:szCs w:val="20"/>
      <w:lang w:eastAsia="en-US"/>
    </w:rPr>
  </w:style>
  <w:style w:type="paragraph" w:customStyle="1" w:styleId="Ruthsparagraph">
    <w:name w:val="Ruth's paragraph"/>
    <w:basedOn w:val="ListParagraph"/>
    <w:link w:val="RuthsparagraphChar1"/>
    <w:uiPriority w:val="99"/>
    <w:rsid w:val="00164A45"/>
    <w:pPr>
      <w:numPr>
        <w:ilvl w:val="1"/>
        <w:numId w:val="2"/>
      </w:numPr>
      <w:spacing w:before="120" w:after="120" w:line="240" w:lineRule="auto"/>
    </w:pPr>
    <w:rPr>
      <w:rFonts w:ascii="Arial" w:hAnsi="Arial"/>
      <w:sz w:val="24"/>
      <w:szCs w:val="24"/>
      <w:lang w:eastAsia="en-GB"/>
    </w:rPr>
  </w:style>
  <w:style w:type="character" w:customStyle="1" w:styleId="RuthsparagraphChar1">
    <w:name w:val="Ruth's paragraph Char1"/>
    <w:basedOn w:val="DefaultParagraphFont"/>
    <w:link w:val="Ruthsparagraph"/>
    <w:uiPriority w:val="99"/>
    <w:locked/>
    <w:rsid w:val="00164A45"/>
    <w:rPr>
      <w:rFonts w:ascii="Arial" w:hAnsi="Arial"/>
      <w:sz w:val="24"/>
      <w:szCs w:val="24"/>
    </w:rPr>
  </w:style>
  <w:style w:type="paragraph" w:customStyle="1" w:styleId="Ruthsnumberedheading">
    <w:name w:val="Ruth's numbered heading"/>
    <w:basedOn w:val="Normal"/>
    <w:uiPriority w:val="99"/>
    <w:rsid w:val="00164A45"/>
    <w:pPr>
      <w:numPr>
        <w:numId w:val="2"/>
      </w:numPr>
      <w:spacing w:before="120" w:after="120" w:line="240" w:lineRule="auto"/>
    </w:pPr>
    <w:rPr>
      <w:rFonts w:ascii="Arial" w:hAnsi="Arial" w:cs="Arial"/>
      <w:b/>
      <w:sz w:val="28"/>
      <w:szCs w:val="28"/>
      <w:lang w:eastAsia="en-GB"/>
    </w:rPr>
  </w:style>
  <w:style w:type="paragraph" w:customStyle="1" w:styleId="Default">
    <w:name w:val="Default"/>
    <w:rsid w:val="00E07B80"/>
    <w:pPr>
      <w:autoSpaceDE w:val="0"/>
      <w:autoSpaceDN w:val="0"/>
      <w:adjustRightInd w:val="0"/>
    </w:pPr>
    <w:rPr>
      <w:rFonts w:ascii="Arial" w:hAnsi="Arial" w:cs="Arial"/>
      <w:color w:val="000000"/>
      <w:sz w:val="24"/>
      <w:szCs w:val="24"/>
    </w:rPr>
  </w:style>
  <w:style w:type="table" w:styleId="TableGrid">
    <w:name w:val="Table Grid"/>
    <w:basedOn w:val="TableNormal"/>
    <w:uiPriority w:val="39"/>
    <w:locked/>
    <w:rsid w:val="00C345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ED0"/>
    <w:rPr>
      <w:sz w:val="20"/>
      <w:szCs w:val="20"/>
      <w:lang w:eastAsia="en-US"/>
    </w:rPr>
  </w:style>
  <w:style w:type="paragraph" w:customStyle="1" w:styleId="Italicparaheading">
    <w:name w:val="Italic para heading"/>
    <w:basedOn w:val="Normal"/>
    <w:link w:val="ItalicparaheadingChar"/>
    <w:uiPriority w:val="99"/>
    <w:rsid w:val="00336EB2"/>
    <w:pPr>
      <w:spacing w:before="120" w:after="120" w:line="240" w:lineRule="auto"/>
    </w:pPr>
    <w:rPr>
      <w:rFonts w:ascii="Arial" w:hAnsi="Arial"/>
      <w:b/>
      <w:i/>
      <w:sz w:val="24"/>
      <w:szCs w:val="24"/>
      <w:lang w:eastAsia="en-GB"/>
    </w:rPr>
  </w:style>
  <w:style w:type="character" w:customStyle="1" w:styleId="ItalicparaheadingChar">
    <w:name w:val="Italic para heading Char"/>
    <w:basedOn w:val="DefaultParagraphFont"/>
    <w:link w:val="Italicparaheading"/>
    <w:uiPriority w:val="99"/>
    <w:locked/>
    <w:rsid w:val="00336EB2"/>
    <w:rPr>
      <w:rFonts w:ascii="Arial" w:hAnsi="Arial" w:cs="Times New Roman"/>
      <w:b/>
      <w:i/>
      <w:sz w:val="24"/>
      <w:szCs w:val="24"/>
    </w:rPr>
  </w:style>
  <w:style w:type="paragraph" w:styleId="NormalWeb">
    <w:name w:val="Normal (Web)"/>
    <w:basedOn w:val="Normal"/>
    <w:uiPriority w:val="99"/>
    <w:semiHidden/>
    <w:unhideWhenUsed/>
    <w:rsid w:val="005D599B"/>
    <w:pPr>
      <w:spacing w:before="100" w:beforeAutospacing="1" w:after="100" w:afterAutospacing="1" w:line="240" w:lineRule="auto"/>
    </w:pPr>
    <w:rPr>
      <w:sz w:val="24"/>
      <w:szCs w:val="24"/>
      <w:lang w:eastAsia="en-GB"/>
    </w:rPr>
  </w:style>
  <w:style w:type="character" w:customStyle="1" w:styleId="Heading3Char">
    <w:name w:val="Heading 3 Char"/>
    <w:basedOn w:val="DefaultParagraphFont"/>
    <w:link w:val="Heading3"/>
    <w:semiHidden/>
    <w:rsid w:val="00414763"/>
    <w:rPr>
      <w:rFonts w:asciiTheme="majorHAnsi" w:eastAsiaTheme="majorEastAsia" w:hAnsiTheme="majorHAnsi" w:cstheme="majorBidi"/>
      <w:b/>
      <w:bCs/>
      <w:color w:val="4F81BD" w:themeColor="accent1"/>
      <w:sz w:val="20"/>
      <w:szCs w:val="20"/>
      <w:lang w:eastAsia="en-US"/>
    </w:rPr>
  </w:style>
  <w:style w:type="numbering" w:customStyle="1" w:styleId="Ruth-numberedparagraphoutline">
    <w:name w:val="Ruth - numbered paragraph outline"/>
    <w:uiPriority w:val="99"/>
    <w:rsid w:val="000266BC"/>
    <w:pPr>
      <w:numPr>
        <w:numId w:val="4"/>
      </w:numPr>
    </w:pPr>
  </w:style>
  <w:style w:type="character" w:customStyle="1" w:styleId="Heading1Char">
    <w:name w:val="Heading 1 Char"/>
    <w:basedOn w:val="DefaultParagraphFont"/>
    <w:link w:val="Heading1"/>
    <w:rsid w:val="00AD41D8"/>
    <w:rPr>
      <w:rFonts w:asciiTheme="majorHAnsi" w:eastAsiaTheme="majorEastAsia" w:hAnsiTheme="majorHAnsi" w:cstheme="majorBidi"/>
      <w:b/>
      <w:bCs/>
      <w:color w:val="365F91" w:themeColor="accent1" w:themeShade="BF"/>
      <w:sz w:val="28"/>
      <w:szCs w:val="28"/>
      <w:lang w:eastAsia="en-US"/>
    </w:rPr>
  </w:style>
  <w:style w:type="numbering" w:customStyle="1" w:styleId="Ruth-numberedheading">
    <w:name w:val="Ruth - numbered heading"/>
    <w:uiPriority w:val="99"/>
    <w:rsid w:val="00AD41D8"/>
    <w:pPr>
      <w:numPr>
        <w:numId w:val="5"/>
      </w:numPr>
    </w:pPr>
  </w:style>
  <w:style w:type="paragraph" w:customStyle="1" w:styleId="Ruth-numberedparagraph">
    <w:name w:val="Ruth - numbered paragraph"/>
    <w:basedOn w:val="ListParagraph"/>
    <w:autoRedefine/>
    <w:rsid w:val="001B78EA"/>
    <w:pPr>
      <w:numPr>
        <w:numId w:val="6"/>
      </w:numPr>
      <w:spacing w:before="120" w:after="120" w:line="240" w:lineRule="auto"/>
    </w:pPr>
    <w:rPr>
      <w:rFonts w:asciiTheme="minorHAnsi" w:hAnsiTheme="minorHAnsi"/>
      <w:sz w:val="24"/>
      <w:szCs w:val="24"/>
      <w:lang w:eastAsia="en-GB"/>
    </w:rPr>
  </w:style>
  <w:style w:type="paragraph" w:styleId="ListNumber">
    <w:name w:val="List Number"/>
    <w:basedOn w:val="Normal"/>
    <w:uiPriority w:val="99"/>
    <w:semiHidden/>
    <w:unhideWhenUsed/>
    <w:rsid w:val="00BB2302"/>
    <w:pPr>
      <w:numPr>
        <w:numId w:val="11"/>
      </w:numPr>
      <w:spacing w:after="160" w:line="259" w:lineRule="auto"/>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585E6-702F-4E67-829F-4ABC5222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2040</TotalTime>
  <Pages>10</Pages>
  <Words>4325</Words>
  <Characters>23719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Audit area</vt:lpstr>
    </vt:vector>
  </TitlesOfParts>
  <Company>Lancashire County Council</Company>
  <LinksUpToDate>false</LinksUpToDate>
  <CharactersWithSpaces>27989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area</dc:title>
  <dc:creator>Ruth Lowry</dc:creator>
  <cp:lastModifiedBy>Gorman, Dave</cp:lastModifiedBy>
  <cp:revision>32</cp:revision>
  <cp:lastPrinted>2018-03-23T15:39:00Z</cp:lastPrinted>
  <dcterms:created xsi:type="dcterms:W3CDTF">2018-01-25T11:56:00Z</dcterms:created>
  <dcterms:modified xsi:type="dcterms:W3CDTF">2018-04-18T14:21:00Z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378104528</vt:i4>
  </property>
</Properties>
</file>